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60226" w:rsidR="002D473B" w:rsidP="007D2177" w:rsidRDefault="002D473B" w14:paraId="30C84BB7" w14:textId="77777777">
      <w:pPr>
        <w:pStyle w:val="BodyText"/>
      </w:pPr>
    </w:p>
    <w:p w:rsidRPr="00CC58C0" w:rsidR="00CC58C0" w:rsidP="00CC58C0" w:rsidRDefault="00C96C50" w14:paraId="77CDC5AC" w14:textId="3FD0E2D3">
      <w:pPr>
        <w:pStyle w:val="Heading1"/>
        <w:jc w:val="both"/>
        <w:rPr>
          <w:rFonts w:asciiTheme="majorHAnsi" w:hAnsiTheme="majorHAnsi" w:cstheme="majorHAnsi"/>
          <w:color w:val="auto"/>
        </w:rPr>
      </w:pPr>
      <w:r w:rsidRPr="00BE1509">
        <w:rPr>
          <w:rFonts w:asciiTheme="majorHAnsi" w:hAnsiTheme="majorHAnsi" w:cstheme="majorHAnsi"/>
          <w:color w:val="auto"/>
        </w:rPr>
        <w:t>Xbrane Biopharma AB</w:t>
      </w:r>
      <w:r w:rsidRPr="00BE1509" w:rsidR="00B176DD">
        <w:rPr>
          <w:rFonts w:asciiTheme="majorHAnsi" w:hAnsiTheme="majorHAnsi" w:cstheme="majorHAnsi"/>
          <w:color w:val="auto"/>
        </w:rPr>
        <w:t xml:space="preserve"> </w:t>
      </w:r>
      <w:r w:rsidRPr="00260226" w:rsidR="00EA5E0D">
        <w:rPr>
          <w:rFonts w:asciiTheme="majorHAnsi" w:hAnsiTheme="majorHAnsi" w:cstheme="majorHAnsi"/>
          <w:color w:val="auto"/>
        </w:rPr>
        <w:t xml:space="preserve">(publ) </w:t>
      </w:r>
      <w:r w:rsidRPr="00BE1509" w:rsidR="00B176DD">
        <w:rPr>
          <w:rFonts w:asciiTheme="majorHAnsi" w:hAnsiTheme="majorHAnsi" w:cstheme="majorHAnsi"/>
          <w:color w:val="auto"/>
        </w:rPr>
        <w:t>–</w:t>
      </w:r>
      <w:r w:rsidRPr="00BE1509" w:rsidR="00F83752">
        <w:rPr>
          <w:rFonts w:asciiTheme="majorHAnsi" w:hAnsiTheme="majorHAnsi" w:cstheme="majorHAnsi"/>
          <w:color w:val="auto"/>
        </w:rPr>
        <w:t xml:space="preserve"> Informationsdokument </w:t>
      </w:r>
      <w:r w:rsidRPr="00BE1509" w:rsidR="00F348BC">
        <w:rPr>
          <w:rFonts w:asciiTheme="majorHAnsi" w:hAnsiTheme="majorHAnsi" w:cstheme="majorHAnsi"/>
          <w:color w:val="auto"/>
        </w:rPr>
        <w:t xml:space="preserve">avseende </w:t>
      </w:r>
      <w:r w:rsidRPr="00BE1509" w:rsidR="00B35A9A">
        <w:rPr>
          <w:rFonts w:asciiTheme="majorHAnsi" w:hAnsiTheme="majorHAnsi" w:cstheme="majorHAnsi"/>
          <w:color w:val="auto"/>
        </w:rPr>
        <w:t>upptagande till handel av aktier</w:t>
      </w:r>
    </w:p>
    <w:p w:rsidRPr="00BE1509" w:rsidR="003F5930" w:rsidP="00BE1509" w:rsidRDefault="003A41B9" w14:paraId="28A8EEE6" w14:textId="473C5AC5">
      <w:pPr>
        <w:pStyle w:val="BodyText"/>
        <w:rPr>
          <w:b/>
          <w:bCs/>
        </w:rPr>
      </w:pPr>
      <w:r>
        <w:t xml:space="preserve">11 </w:t>
      </w:r>
      <w:r w:rsidR="00A862FD">
        <w:t xml:space="preserve">juli </w:t>
      </w:r>
      <w:r w:rsidRPr="00260226" w:rsidR="00383029">
        <w:t>2025</w:t>
      </w:r>
    </w:p>
    <w:p w:rsidRPr="00BE1509" w:rsidR="001A249F" w:rsidP="00F060C4" w:rsidRDefault="001A249F" w14:paraId="173315E8" w14:textId="77777777">
      <w:pPr>
        <w:jc w:val="both"/>
        <w:rPr>
          <w:rFonts w:eastAsia="Times New Roman" w:asciiTheme="majorHAnsi" w:hAnsiTheme="majorHAnsi" w:cstheme="majorHAnsi"/>
          <w:szCs w:val="22"/>
          <w:lang w:eastAsia="sv-SE"/>
        </w:rPr>
      </w:pPr>
    </w:p>
    <w:p w:rsidRPr="00BE1509" w:rsidR="001A249F" w:rsidP="00CD5A05" w:rsidRDefault="00785CCC" w14:paraId="0F76DC5D" w14:textId="03D4C54F">
      <w:pPr>
        <w:pStyle w:val="Heading2"/>
        <w:keepNext/>
        <w:jc w:val="both"/>
        <w:rPr>
          <w:rFonts w:asciiTheme="majorHAnsi" w:hAnsiTheme="majorHAnsi" w:cstheme="majorHAnsi"/>
          <w:color w:val="auto"/>
        </w:rPr>
      </w:pPr>
      <w:r w:rsidRPr="00CD5A05">
        <w:rPr>
          <w:rFonts w:asciiTheme="majorHAnsi" w:hAnsiTheme="majorHAnsi" w:cstheme="majorHAnsi"/>
          <w:color w:val="auto"/>
          <w:sz w:val="26"/>
          <w:szCs w:val="26"/>
        </w:rPr>
        <w:t>Information om emittenten</w:t>
      </w:r>
    </w:p>
    <w:p w:rsidRPr="00BE1509" w:rsidR="00B12A49" w:rsidP="00BE1509" w:rsidRDefault="00C96C50" w14:paraId="5CE864F1" w14:textId="0E9C4CD2">
      <w:pPr>
        <w:pStyle w:val="BodyText"/>
        <w:rPr>
          <w:sz w:val="20"/>
          <w:szCs w:val="20"/>
        </w:rPr>
      </w:pPr>
      <w:r w:rsidRPr="00260226">
        <w:t>Xbrane Biopharma AB</w:t>
      </w:r>
      <w:r w:rsidRPr="00260226" w:rsidR="00C30498">
        <w:t xml:space="preserve"> </w:t>
      </w:r>
      <w:r w:rsidRPr="00260226" w:rsidR="009B2E12">
        <w:t>(”</w:t>
      </w:r>
      <w:r w:rsidRPr="00260226">
        <w:rPr>
          <w:b/>
          <w:bCs/>
        </w:rPr>
        <w:t>Xbrane</w:t>
      </w:r>
      <w:r w:rsidRPr="00260226" w:rsidR="009B2E12">
        <w:t>” eller ”</w:t>
      </w:r>
      <w:r w:rsidRPr="00260226" w:rsidR="009B2E12">
        <w:rPr>
          <w:b/>
          <w:bCs/>
        </w:rPr>
        <w:t>Bolaget</w:t>
      </w:r>
      <w:r w:rsidRPr="00260226" w:rsidR="009B2E12">
        <w:t xml:space="preserve">”) </w:t>
      </w:r>
      <w:r w:rsidRPr="00260226" w:rsidR="00C30498">
        <w:t xml:space="preserve">är ett svenskt publikt aktiebolag som bildades i Sverige den </w:t>
      </w:r>
      <w:r w:rsidRPr="00BE1509" w:rsidR="00B35A9A">
        <w:t xml:space="preserve">27 december 2007 </w:t>
      </w:r>
      <w:r w:rsidRPr="00260226" w:rsidR="00C30498">
        <w:t>och registrerades vid Bolagsverket den</w:t>
      </w:r>
      <w:r w:rsidRPr="00260226" w:rsidR="00FF6948">
        <w:t xml:space="preserve"> </w:t>
      </w:r>
      <w:r w:rsidRPr="00BE1509" w:rsidR="001B639E">
        <w:t>15 januari 2008</w:t>
      </w:r>
      <w:r w:rsidRPr="00260226" w:rsidR="00C30498">
        <w:t>.</w:t>
      </w:r>
      <w:r w:rsidRPr="00260226" w:rsidR="00FF6948">
        <w:t xml:space="preserve"> </w:t>
      </w:r>
      <w:r w:rsidRPr="00260226" w:rsidR="00C30498">
        <w:t xml:space="preserve">Bolagets organisationsnummer är </w:t>
      </w:r>
      <w:r w:rsidRPr="00BE1509" w:rsidR="008A51D3">
        <w:t>556749–2375</w:t>
      </w:r>
      <w:r w:rsidRPr="00260226" w:rsidR="00695C4C">
        <w:t xml:space="preserve"> och Bolagets LEI är</w:t>
      </w:r>
      <w:r w:rsidRPr="00260226" w:rsidR="008A51D3">
        <w:t xml:space="preserve"> 5493008DKD05APTKQO39</w:t>
      </w:r>
      <w:r w:rsidRPr="00260226" w:rsidR="00C30498">
        <w:t>.</w:t>
      </w:r>
      <w:r w:rsidRPr="00260226" w:rsidR="00B26916">
        <w:t xml:space="preserve"> Adressen till Bolagets hemsida är: </w:t>
      </w:r>
      <w:r w:rsidRPr="00260226" w:rsidR="008A51D3">
        <w:t>www.xbrane.com</w:t>
      </w:r>
      <w:r w:rsidRPr="00BE1509" w:rsidR="00FF6948">
        <w:t>.</w:t>
      </w:r>
    </w:p>
    <w:p w:rsidRPr="00BE1509" w:rsidR="00B12A49" w:rsidP="00CD5A05" w:rsidRDefault="00AC3178" w14:paraId="063C0D9E" w14:textId="1B62D578">
      <w:pPr>
        <w:pStyle w:val="Heading2"/>
        <w:keepNext/>
        <w:jc w:val="both"/>
        <w:rPr>
          <w:rFonts w:asciiTheme="majorHAnsi" w:hAnsiTheme="majorHAnsi" w:cstheme="majorHAnsi"/>
          <w:color w:val="auto"/>
        </w:rPr>
      </w:pPr>
      <w:r w:rsidRPr="00CD5A05">
        <w:rPr>
          <w:rFonts w:asciiTheme="majorHAnsi" w:hAnsiTheme="majorHAnsi" w:cstheme="majorHAnsi"/>
          <w:color w:val="auto"/>
          <w:sz w:val="26"/>
          <w:szCs w:val="26"/>
        </w:rPr>
        <w:t>Styrelsens ansvarsförklaring</w:t>
      </w:r>
    </w:p>
    <w:p w:rsidRPr="00BE1509" w:rsidR="006B1235" w:rsidP="007D2177" w:rsidRDefault="009B2E12" w14:paraId="48B12FFA" w14:textId="1D3BD2C8">
      <w:pPr>
        <w:pStyle w:val="BodyText"/>
      </w:pPr>
      <w:r w:rsidRPr="00BE1509">
        <w:t xml:space="preserve">Styrelsen för </w:t>
      </w:r>
      <w:r w:rsidRPr="00BE1509" w:rsidR="00C96C50">
        <w:t>Xbrane</w:t>
      </w:r>
      <w:r w:rsidRPr="00BE1509">
        <w:t xml:space="preserve"> är ensamt ansvarig för innehållet i detta dokument. Enligt styrelsens kännedom överensstämmer den information som ges i detta dokument med sakförhållandena och ingen uppgift som sannolikt skulle kunna påverka dess innebörd har utelämnats.</w:t>
      </w:r>
    </w:p>
    <w:p w:rsidRPr="00BE1509" w:rsidR="0086554A" w:rsidP="00CD5A05" w:rsidRDefault="00963231" w14:paraId="0662FEAA" w14:textId="5704F027">
      <w:pPr>
        <w:pStyle w:val="Heading2"/>
        <w:keepNext/>
        <w:jc w:val="both"/>
        <w:rPr>
          <w:rFonts w:eastAsia="Times New Roman" w:asciiTheme="majorHAnsi" w:hAnsiTheme="majorHAnsi" w:cstheme="majorHAnsi"/>
          <w:color w:val="auto"/>
          <w:szCs w:val="22"/>
          <w:lang w:eastAsia="sv-SE"/>
        </w:rPr>
      </w:pPr>
      <w:r w:rsidRPr="00CD5A05">
        <w:rPr>
          <w:rFonts w:asciiTheme="majorHAnsi" w:hAnsiTheme="majorHAnsi" w:cstheme="majorHAnsi"/>
          <w:color w:val="auto"/>
          <w:sz w:val="26"/>
          <w:szCs w:val="26"/>
        </w:rPr>
        <w:t>Behörig myndighet</w:t>
      </w:r>
    </w:p>
    <w:p w:rsidRPr="00BE1509" w:rsidR="00D30C03" w:rsidP="00E73744" w:rsidRDefault="00D30C03" w14:paraId="22FCDEA7" w14:textId="1B1208DE">
      <w:pPr>
        <w:spacing w:after="100" w:afterAutospacing="1"/>
        <w:jc w:val="both"/>
        <w:rPr>
          <w:rFonts w:eastAsia="Times New Roman" w:asciiTheme="majorHAnsi" w:hAnsiTheme="majorHAnsi" w:cstheme="majorHAnsi"/>
          <w:szCs w:val="22"/>
          <w:lang w:eastAsia="sv-SE"/>
        </w:rPr>
      </w:pPr>
      <w:r w:rsidRPr="00BE1509">
        <w:rPr>
          <w:rFonts w:eastAsia="Times New Roman" w:asciiTheme="majorHAnsi" w:hAnsiTheme="majorHAnsi" w:cstheme="majorHAnsi"/>
          <w:szCs w:val="22"/>
          <w:lang w:eastAsia="sv-SE"/>
        </w:rPr>
        <w:t>D</w:t>
      </w:r>
      <w:r w:rsidRPr="00BE1509" w:rsidR="0041144A">
        <w:rPr>
          <w:rFonts w:eastAsia="Times New Roman" w:asciiTheme="majorHAnsi" w:hAnsiTheme="majorHAnsi" w:cstheme="majorHAnsi"/>
          <w:szCs w:val="22"/>
          <w:lang w:eastAsia="sv-SE"/>
        </w:rPr>
        <w:t>etta d</w:t>
      </w:r>
      <w:r w:rsidRPr="00BE1509">
        <w:rPr>
          <w:rFonts w:eastAsia="Times New Roman" w:asciiTheme="majorHAnsi" w:hAnsiTheme="majorHAnsi" w:cstheme="majorHAnsi"/>
          <w:szCs w:val="22"/>
          <w:lang w:eastAsia="sv-SE"/>
        </w:rPr>
        <w:t xml:space="preserve">okument </w:t>
      </w:r>
      <w:r w:rsidRPr="00BE1509" w:rsidR="0041144A">
        <w:rPr>
          <w:rFonts w:eastAsia="Times New Roman" w:asciiTheme="majorHAnsi" w:hAnsiTheme="majorHAnsi" w:cstheme="majorHAnsi"/>
          <w:szCs w:val="22"/>
          <w:lang w:eastAsia="sv-SE"/>
        </w:rPr>
        <w:t>är inget prospekt</w:t>
      </w:r>
      <w:r w:rsidRPr="00BE1509" w:rsidR="00DA2AAA">
        <w:rPr>
          <w:rFonts w:eastAsia="Times New Roman" w:asciiTheme="majorHAnsi" w:hAnsiTheme="majorHAnsi" w:cstheme="majorHAnsi"/>
          <w:szCs w:val="22"/>
          <w:lang w:eastAsia="sv-SE"/>
        </w:rPr>
        <w:t xml:space="preserve"> enligt betydelsen </w:t>
      </w:r>
      <w:r w:rsidRPr="00BE1509">
        <w:rPr>
          <w:rFonts w:eastAsia="Times New Roman" w:asciiTheme="majorHAnsi" w:hAnsiTheme="majorHAnsi" w:cstheme="majorHAnsi"/>
          <w:szCs w:val="22"/>
          <w:lang w:eastAsia="sv-SE"/>
        </w:rPr>
        <w:t>i Europaparlamentets och Rådets förordning (EU) 2017/1129 av den 14 juni 2017 om prospekt som ska offentliggöras när värdepapper erbjuds till allmänheten eller tas upp till handel på en reglerad marknad, och om upphävande av direktiv 2003/71/EG, i dess ändrade lydelse ("</w:t>
      </w:r>
      <w:r w:rsidRPr="00BE1509">
        <w:rPr>
          <w:rFonts w:eastAsia="Times New Roman" w:asciiTheme="majorHAnsi" w:hAnsiTheme="majorHAnsi" w:cstheme="majorHAnsi"/>
          <w:b/>
          <w:bCs/>
          <w:szCs w:val="22"/>
          <w:lang w:eastAsia="sv-SE"/>
        </w:rPr>
        <w:t>Prospektförordningen</w:t>
      </w:r>
      <w:r w:rsidRPr="00BE1509">
        <w:rPr>
          <w:rFonts w:eastAsia="Times New Roman" w:asciiTheme="majorHAnsi" w:hAnsiTheme="majorHAnsi" w:cstheme="majorHAnsi"/>
          <w:szCs w:val="22"/>
          <w:lang w:eastAsia="sv-SE"/>
        </w:rPr>
        <w:t>").</w:t>
      </w:r>
      <w:r w:rsidRPr="00BE1509" w:rsidR="00DA2AAA">
        <w:rPr>
          <w:rFonts w:eastAsia="Times New Roman" w:asciiTheme="majorHAnsi" w:hAnsiTheme="majorHAnsi" w:cstheme="majorHAnsi"/>
          <w:szCs w:val="22"/>
          <w:lang w:eastAsia="sv-SE"/>
        </w:rPr>
        <w:t xml:space="preserve"> Detta dokument har upprättats i enlighet med artikel 1.4 db </w:t>
      </w:r>
      <w:r w:rsidRPr="00BE1509" w:rsidR="00E73744">
        <w:rPr>
          <w:rFonts w:eastAsia="Times New Roman" w:asciiTheme="majorHAnsi" w:hAnsiTheme="majorHAnsi" w:cstheme="majorHAnsi"/>
          <w:szCs w:val="22"/>
          <w:lang w:eastAsia="sv-SE"/>
        </w:rPr>
        <w:t xml:space="preserve">Prospektförordningen </w:t>
      </w:r>
      <w:r w:rsidRPr="00BE1509" w:rsidR="00DA2AAA">
        <w:rPr>
          <w:rFonts w:eastAsia="Times New Roman" w:asciiTheme="majorHAnsi" w:hAnsiTheme="majorHAnsi" w:cstheme="majorHAnsi"/>
          <w:szCs w:val="22"/>
          <w:lang w:eastAsia="sv-SE"/>
        </w:rPr>
        <w:t>och utformats i enlighet med kraven i bilaga IX</w:t>
      </w:r>
      <w:r w:rsidRPr="00BE1509" w:rsidR="00E73744">
        <w:rPr>
          <w:rFonts w:eastAsia="Times New Roman" w:asciiTheme="majorHAnsi" w:hAnsiTheme="majorHAnsi" w:cstheme="majorHAnsi"/>
          <w:szCs w:val="22"/>
          <w:lang w:eastAsia="sv-SE"/>
        </w:rPr>
        <w:t xml:space="preserve"> i denna förordning</w:t>
      </w:r>
      <w:r w:rsidRPr="00BE1509" w:rsidR="00DA2AAA">
        <w:rPr>
          <w:rFonts w:eastAsia="Times New Roman" w:asciiTheme="majorHAnsi" w:hAnsiTheme="majorHAnsi" w:cstheme="majorHAnsi"/>
          <w:szCs w:val="22"/>
          <w:lang w:eastAsia="sv-SE"/>
        </w:rPr>
        <w:t>.</w:t>
      </w:r>
      <w:r w:rsidRPr="00BE1509">
        <w:rPr>
          <w:rFonts w:eastAsia="Times New Roman" w:asciiTheme="majorHAnsi" w:hAnsiTheme="majorHAnsi" w:cstheme="majorHAnsi"/>
          <w:szCs w:val="22"/>
          <w:lang w:eastAsia="sv-SE"/>
        </w:rPr>
        <w:t xml:space="preserve"> Finansinspektionen, som är den nationellt behöriga myndigheten, har inte godkänt eller granskat dokumentet. Varje investerare uppmanas att göra sin egen bedömning av huruvida det är lämpligt att investera i Bolaget. För detta dokument och erbjudandet som beskrivs häri gäller svensk rätt. Tvist med anledning av dokumentet och därmed sammanhängande rättsförhållanden ska avgöras av svensk domstol exklusivt, varvid Stockholms tingsrätt ska utgöra första instans.</w:t>
      </w:r>
    </w:p>
    <w:p w:rsidRPr="00BE1509" w:rsidR="006B1235" w:rsidP="00CD5A05" w:rsidRDefault="00FF5134" w14:paraId="298E5056" w14:textId="4D583FBB">
      <w:pPr>
        <w:pStyle w:val="Heading2"/>
        <w:keepNext/>
        <w:jc w:val="both"/>
        <w:rPr>
          <w:rFonts w:asciiTheme="majorHAnsi" w:hAnsiTheme="majorHAnsi" w:cstheme="majorHAnsi"/>
          <w:color w:val="auto"/>
        </w:rPr>
      </w:pPr>
      <w:r w:rsidRPr="00CD5A05">
        <w:rPr>
          <w:rFonts w:asciiTheme="majorHAnsi" w:hAnsiTheme="majorHAnsi" w:cstheme="majorHAnsi"/>
          <w:color w:val="auto"/>
          <w:sz w:val="26"/>
          <w:szCs w:val="26"/>
        </w:rPr>
        <w:t>Efterlevnad av rapporteringsskyldighet</w:t>
      </w:r>
      <w:r w:rsidRPr="00CD5A05" w:rsidR="00B4487B">
        <w:rPr>
          <w:rFonts w:asciiTheme="majorHAnsi" w:hAnsiTheme="majorHAnsi" w:cstheme="majorHAnsi"/>
          <w:color w:val="auto"/>
          <w:sz w:val="26"/>
          <w:szCs w:val="26"/>
        </w:rPr>
        <w:t xml:space="preserve"> och offentliggjord information</w:t>
      </w:r>
    </w:p>
    <w:p w:rsidRPr="00BE1509" w:rsidR="00F26FEB" w:rsidP="00F26FEB" w:rsidRDefault="00BB11C4" w14:paraId="72FBB41C" w14:textId="57C7503C">
      <w:pPr>
        <w:spacing w:after="100" w:afterAutospacing="1"/>
        <w:jc w:val="both"/>
        <w:rPr>
          <w:rFonts w:eastAsia="Times New Roman" w:asciiTheme="majorHAnsi" w:hAnsiTheme="majorHAnsi" w:cstheme="majorHAnsi"/>
          <w:szCs w:val="22"/>
          <w:lang w:eastAsia="sv-SE"/>
        </w:rPr>
      </w:pPr>
      <w:r w:rsidRPr="00BE1509">
        <w:rPr>
          <w:rFonts w:eastAsia="Times New Roman" w:asciiTheme="majorHAnsi" w:hAnsiTheme="majorHAnsi" w:cstheme="majorHAnsi"/>
          <w:szCs w:val="22"/>
          <w:lang w:eastAsia="sv-SE"/>
        </w:rPr>
        <w:t xml:space="preserve">Styrelsen för </w:t>
      </w:r>
      <w:r w:rsidRPr="00BE1509" w:rsidR="00C96C50">
        <w:rPr>
          <w:rFonts w:eastAsia="Times New Roman" w:asciiTheme="majorHAnsi" w:hAnsiTheme="majorHAnsi" w:cstheme="majorHAnsi"/>
          <w:szCs w:val="22"/>
          <w:lang w:eastAsia="sv-SE"/>
        </w:rPr>
        <w:t>Xbrane</w:t>
      </w:r>
      <w:r w:rsidRPr="00BE1509">
        <w:rPr>
          <w:rFonts w:eastAsia="Times New Roman" w:asciiTheme="majorHAnsi" w:hAnsiTheme="majorHAnsi" w:cstheme="majorHAnsi"/>
          <w:szCs w:val="22"/>
          <w:lang w:eastAsia="sv-SE"/>
        </w:rPr>
        <w:t xml:space="preserve"> intygar härmed att Bolaget fortlöpande har efterlevt sin rapporteringsskyldighet och skyldigheten att offentliggöra information under hela den period då Bolagets värdepapper har varit upptagna till handel, inbegripet enligt direktiv 2004/109/EG, i förekommande fall, förordning (EU) nr 596/2014 och, i förekommande fall, delegerad förordning (EU) 2017/565.</w:t>
      </w:r>
    </w:p>
    <w:p w:rsidRPr="00BE1509" w:rsidR="007D0462" w:rsidP="00F26FEB" w:rsidRDefault="00532D0F" w14:paraId="1E32A7DA" w14:textId="73E2F0FA">
      <w:pPr>
        <w:spacing w:after="100" w:afterAutospacing="1"/>
        <w:jc w:val="both"/>
        <w:rPr>
          <w:rFonts w:eastAsia="Times New Roman" w:asciiTheme="majorHAnsi" w:hAnsiTheme="majorHAnsi" w:cstheme="majorHAnsi"/>
          <w:szCs w:val="22"/>
          <w:lang w:eastAsia="sv-SE"/>
        </w:rPr>
      </w:pPr>
      <w:r w:rsidRPr="00BE1509">
        <w:rPr>
          <w:rFonts w:eastAsia="Times New Roman" w:asciiTheme="majorHAnsi" w:hAnsiTheme="majorHAnsi" w:cstheme="majorHAnsi"/>
          <w:szCs w:val="22"/>
          <w:lang w:eastAsia="sv-SE"/>
        </w:rPr>
        <w:t>Styrelsen</w:t>
      </w:r>
      <w:r w:rsidRPr="00BE1509" w:rsidR="007D0462">
        <w:rPr>
          <w:rFonts w:eastAsia="Times New Roman" w:asciiTheme="majorHAnsi" w:hAnsiTheme="majorHAnsi" w:cstheme="majorHAnsi"/>
          <w:szCs w:val="22"/>
          <w:lang w:eastAsia="sv-SE"/>
        </w:rPr>
        <w:t xml:space="preserve"> </w:t>
      </w:r>
      <w:r w:rsidRPr="00BE1509">
        <w:rPr>
          <w:rFonts w:eastAsia="Times New Roman" w:asciiTheme="majorHAnsi" w:hAnsiTheme="majorHAnsi" w:cstheme="majorHAnsi"/>
          <w:szCs w:val="22"/>
          <w:lang w:eastAsia="sv-SE"/>
        </w:rPr>
        <w:t xml:space="preserve">bekräftar härmed att Bolaget, </w:t>
      </w:r>
      <w:r w:rsidRPr="00BE1509" w:rsidR="007D0462">
        <w:rPr>
          <w:rFonts w:eastAsia="Times New Roman" w:asciiTheme="majorHAnsi" w:hAnsiTheme="majorHAnsi" w:cstheme="majorHAnsi"/>
          <w:szCs w:val="22"/>
          <w:lang w:eastAsia="sv-SE"/>
        </w:rPr>
        <w:t>vid tidpunkten för erbjudandet</w:t>
      </w:r>
      <w:r w:rsidRPr="00BE1509">
        <w:rPr>
          <w:rFonts w:eastAsia="Times New Roman" w:asciiTheme="majorHAnsi" w:hAnsiTheme="majorHAnsi" w:cstheme="majorHAnsi"/>
          <w:szCs w:val="22"/>
          <w:lang w:eastAsia="sv-SE"/>
        </w:rPr>
        <w:t>,</w:t>
      </w:r>
      <w:r w:rsidRPr="00BE1509" w:rsidR="007D0462">
        <w:rPr>
          <w:rFonts w:eastAsia="Times New Roman" w:asciiTheme="majorHAnsi" w:hAnsiTheme="majorHAnsi" w:cstheme="majorHAnsi"/>
          <w:szCs w:val="22"/>
          <w:lang w:eastAsia="sv-SE"/>
        </w:rPr>
        <w:t xml:space="preserve"> inte skjuter upp offentliggörandet av insiderinformation i enlighet med förordning (EU) nr 596/2014.</w:t>
      </w:r>
    </w:p>
    <w:p w:rsidRPr="00BE1509" w:rsidR="00281ED1" w:rsidP="00F26FEB" w:rsidRDefault="00FF5134" w14:paraId="20CECE4D" w14:textId="2BBD6688">
      <w:pPr>
        <w:spacing w:after="100" w:afterAutospacing="1"/>
        <w:jc w:val="both"/>
        <w:rPr>
          <w:rFonts w:eastAsia="Times New Roman" w:asciiTheme="majorHAnsi" w:hAnsiTheme="majorHAnsi" w:cstheme="majorHAnsi"/>
          <w:szCs w:val="22"/>
          <w:lang w:eastAsia="sv-SE"/>
        </w:rPr>
      </w:pPr>
      <w:r w:rsidRPr="00BE1509">
        <w:rPr>
          <w:rFonts w:eastAsia="Times New Roman" w:asciiTheme="majorHAnsi" w:hAnsiTheme="majorHAnsi" w:cstheme="majorHAnsi"/>
          <w:szCs w:val="22"/>
          <w:lang w:eastAsia="sv-SE"/>
        </w:rPr>
        <w:t>D</w:t>
      </w:r>
      <w:r w:rsidRPr="00BE1509" w:rsidR="006B1235">
        <w:rPr>
          <w:rFonts w:eastAsia="Times New Roman" w:asciiTheme="majorHAnsi" w:hAnsiTheme="majorHAnsi" w:cstheme="majorHAnsi"/>
          <w:szCs w:val="22"/>
          <w:lang w:eastAsia="sv-SE"/>
        </w:rPr>
        <w:t xml:space="preserve">en obligatoriska information som emittenten offentliggör i enlighet med skyldigheter att offentliggöra löpande information finns tillgänglig </w:t>
      </w:r>
      <w:r w:rsidRPr="00BE1509">
        <w:rPr>
          <w:rFonts w:eastAsia="Times New Roman" w:asciiTheme="majorHAnsi" w:hAnsiTheme="majorHAnsi" w:cstheme="majorHAnsi"/>
          <w:szCs w:val="22"/>
          <w:lang w:eastAsia="sv-SE"/>
        </w:rPr>
        <w:t>på Bolagets hemsida</w:t>
      </w:r>
      <w:r w:rsidR="00DC1ED8">
        <w:rPr>
          <w:rFonts w:eastAsia="Times New Roman" w:asciiTheme="majorHAnsi" w:hAnsiTheme="majorHAnsi" w:cstheme="majorHAnsi"/>
          <w:szCs w:val="22"/>
          <w:lang w:eastAsia="sv-SE"/>
        </w:rPr>
        <w:t>,</w:t>
      </w:r>
      <w:r w:rsidRPr="00BE1509">
        <w:rPr>
          <w:rFonts w:eastAsia="Times New Roman" w:asciiTheme="majorHAnsi" w:hAnsiTheme="majorHAnsi" w:cstheme="majorHAnsi"/>
          <w:szCs w:val="22"/>
          <w:lang w:eastAsia="sv-SE"/>
        </w:rPr>
        <w:t xml:space="preserve"> </w:t>
      </w:r>
      <w:r w:rsidRPr="00260226" w:rsidR="00F26FEB">
        <w:rPr>
          <w:rFonts w:eastAsia="Times New Roman" w:asciiTheme="majorHAnsi" w:hAnsiTheme="majorHAnsi" w:cstheme="majorHAnsi"/>
          <w:szCs w:val="22"/>
          <w:lang w:eastAsia="sv-SE"/>
        </w:rPr>
        <w:t>www.xbrane.com</w:t>
      </w:r>
      <w:r w:rsidRPr="00BE1509" w:rsidR="00FF6948">
        <w:rPr>
          <w:rFonts w:asciiTheme="majorHAnsi" w:hAnsiTheme="majorHAnsi" w:cstheme="majorHAnsi"/>
          <w:sz w:val="20"/>
          <w:szCs w:val="20"/>
        </w:rPr>
        <w:t>.</w:t>
      </w:r>
      <w:r w:rsidRPr="00BE1509" w:rsidR="006B1235">
        <w:rPr>
          <w:rFonts w:eastAsia="Times New Roman" w:asciiTheme="majorHAnsi" w:hAnsiTheme="majorHAnsi" w:cstheme="majorHAnsi"/>
          <w:szCs w:val="22"/>
          <w:lang w:eastAsia="sv-SE"/>
        </w:rPr>
        <w:t> </w:t>
      </w:r>
      <w:r w:rsidR="00DC1ED8">
        <w:rPr>
          <w:rFonts w:eastAsia="Times New Roman" w:asciiTheme="majorHAnsi" w:hAnsiTheme="majorHAnsi" w:cstheme="majorHAnsi"/>
          <w:szCs w:val="22"/>
          <w:lang w:eastAsia="sv-SE"/>
        </w:rPr>
        <w:t xml:space="preserve">Bolagets senaste prospekt finns tillgängligt på Bolagets hemsida, </w:t>
      </w:r>
      <w:r w:rsidRPr="00260226" w:rsidR="00DC1ED8">
        <w:rPr>
          <w:rFonts w:eastAsia="Times New Roman" w:asciiTheme="majorHAnsi" w:hAnsiTheme="majorHAnsi" w:cstheme="majorHAnsi"/>
          <w:szCs w:val="22"/>
          <w:lang w:eastAsia="sv-SE"/>
        </w:rPr>
        <w:t>www.xbrane.com</w:t>
      </w:r>
      <w:r w:rsidRPr="00BE1509" w:rsidR="00DC1ED8">
        <w:rPr>
          <w:rFonts w:asciiTheme="majorHAnsi" w:hAnsiTheme="majorHAnsi" w:cstheme="majorHAnsi"/>
          <w:sz w:val="20"/>
          <w:szCs w:val="20"/>
        </w:rPr>
        <w:t>.</w:t>
      </w:r>
      <w:r w:rsidR="00DC1ED8">
        <w:rPr>
          <w:rFonts w:eastAsia="Times New Roman" w:asciiTheme="majorHAnsi" w:hAnsiTheme="majorHAnsi" w:cstheme="majorHAnsi"/>
          <w:szCs w:val="22"/>
          <w:lang w:eastAsia="sv-SE"/>
        </w:rPr>
        <w:t xml:space="preserve"> </w:t>
      </w:r>
    </w:p>
    <w:p w:rsidRPr="00CD5A05" w:rsidR="006B1235" w:rsidP="00537CA3" w:rsidRDefault="00A3532A" w14:paraId="18D50522" w14:textId="1FFC0DE3">
      <w:pPr>
        <w:pStyle w:val="Heading2"/>
        <w:keepNext/>
        <w:jc w:val="both"/>
        <w:rPr>
          <w:rFonts w:asciiTheme="majorHAnsi" w:hAnsiTheme="majorHAnsi" w:cstheme="majorHAnsi"/>
          <w:color w:val="auto"/>
          <w:sz w:val="26"/>
          <w:szCs w:val="26"/>
        </w:rPr>
      </w:pPr>
      <w:r w:rsidRPr="00CD5A05">
        <w:rPr>
          <w:rFonts w:asciiTheme="majorHAnsi" w:hAnsiTheme="majorHAnsi" w:cstheme="majorHAnsi"/>
          <w:color w:val="auto"/>
          <w:sz w:val="26"/>
          <w:szCs w:val="26"/>
        </w:rPr>
        <w:t>Bakgrund och motiv</w:t>
      </w:r>
    </w:p>
    <w:p w:rsidRPr="003108E4" w:rsidR="003108E4" w:rsidP="00D10E0E" w:rsidRDefault="003108E4" w14:paraId="4C8EF411" w14:textId="0C945027">
      <w:pPr>
        <w:pStyle w:val="BodyText"/>
        <w:rPr>
          <w:lang w:eastAsia="zh-CN"/>
        </w:rPr>
      </w:pPr>
      <w:r w:rsidRPr="00E42016">
        <w:rPr>
          <w:rFonts w:eastAsia="Times New Roman"/>
        </w:rPr>
        <w:t xml:space="preserve">Styrelsen i Xbrane har </w:t>
      </w:r>
      <w:r>
        <w:rPr>
          <w:rFonts w:eastAsia="Times New Roman"/>
        </w:rPr>
        <w:t>den 9 juni 2025</w:t>
      </w:r>
      <w:r w:rsidRPr="00E42016">
        <w:rPr>
          <w:rFonts w:eastAsia="Times New Roman"/>
        </w:rPr>
        <w:t>, villkorat av ett godkännande vid en extra bolagsstämma (”</w:t>
      </w:r>
      <w:r w:rsidRPr="00E42016">
        <w:rPr>
          <w:rFonts w:eastAsia="Times New Roman"/>
          <w:b/>
          <w:bCs/>
        </w:rPr>
        <w:t>Bolagsstämman</w:t>
      </w:r>
      <w:r w:rsidRPr="00E42016">
        <w:rPr>
          <w:rFonts w:eastAsia="Times New Roman"/>
        </w:rPr>
        <w:t>”),</w:t>
      </w:r>
      <w:r>
        <w:rPr>
          <w:rFonts w:eastAsia="Times New Roman"/>
        </w:rPr>
        <w:t xml:space="preserve"> </w:t>
      </w:r>
      <w:r w:rsidRPr="003108E4">
        <w:rPr>
          <w:lang w:eastAsia="zh-CN"/>
        </w:rPr>
        <w:t>beslutat om en Riktad Emission av 1 043 478 260 nya aktier till ett teckningspris på 0,23 SEK per aktie</w:t>
      </w:r>
      <w:r>
        <w:rPr>
          <w:lang w:eastAsia="zh-CN"/>
        </w:rPr>
        <w:t xml:space="preserve"> </w:t>
      </w:r>
      <w:r w:rsidRPr="003108E4">
        <w:rPr>
          <w:lang w:eastAsia="zh-CN"/>
        </w:rPr>
        <w:t>(den ”</w:t>
      </w:r>
      <w:r w:rsidRPr="003108E4">
        <w:rPr>
          <w:b/>
          <w:bCs/>
          <w:lang w:eastAsia="zh-CN"/>
        </w:rPr>
        <w:t>Riktade Emissionen</w:t>
      </w:r>
      <w:r w:rsidRPr="003108E4">
        <w:rPr>
          <w:lang w:eastAsia="zh-CN"/>
        </w:rPr>
        <w:t xml:space="preserve">”). </w:t>
      </w:r>
      <w:r w:rsidRPr="005E38AE" w:rsidR="005E38AE">
        <w:rPr>
          <w:lang w:eastAsia="zh-CN"/>
        </w:rPr>
        <w:t>Teckningspriset i den Riktade Emissionen fastställdes genom ett accelererat bookbuilding-förfarande</w:t>
      </w:r>
      <w:r w:rsidR="005E38AE">
        <w:rPr>
          <w:lang w:eastAsia="zh-CN"/>
        </w:rPr>
        <w:t xml:space="preserve">. </w:t>
      </w:r>
      <w:r w:rsidRPr="003108E4">
        <w:rPr>
          <w:lang w:eastAsia="zh-CN"/>
        </w:rPr>
        <w:t>Genom den Riktade Emissionen kommer Bolaget att erhålla en bruttolikvid på cirka 240 MSEK före transaktionsrelaterade kostnader.</w:t>
      </w:r>
      <w:r>
        <w:rPr>
          <w:lang w:eastAsia="zh-CN"/>
        </w:rPr>
        <w:t xml:space="preserve"> </w:t>
      </w:r>
      <w:r w:rsidRPr="003108E4">
        <w:rPr>
          <w:lang w:eastAsia="zh-CN"/>
        </w:rPr>
        <w:t>Bolaget har utsett Pareto Securities AB till Sole Manager och Bookrunner (”</w:t>
      </w:r>
      <w:r w:rsidRPr="003108E4">
        <w:rPr>
          <w:b/>
          <w:bCs/>
          <w:lang w:eastAsia="zh-CN"/>
        </w:rPr>
        <w:t>Sole Manager och Bookrunner</w:t>
      </w:r>
      <w:r w:rsidRPr="003108E4">
        <w:rPr>
          <w:lang w:eastAsia="zh-CN"/>
        </w:rPr>
        <w:t>”) i samband med den Riktade Emissionen.</w:t>
      </w:r>
    </w:p>
    <w:p w:rsidR="00F6457F" w:rsidP="00D10E0E" w:rsidRDefault="003108E4" w14:paraId="2F2DA5CA" w14:textId="77777777">
      <w:pPr>
        <w:spacing w:after="100" w:afterAutospacing="1"/>
        <w:jc w:val="both"/>
        <w:rPr>
          <w:rFonts w:eastAsia="Times New Roman" w:asciiTheme="majorHAnsi" w:hAnsiTheme="majorHAnsi" w:cstheme="majorHAnsi"/>
          <w:szCs w:val="22"/>
          <w:lang w:eastAsia="sv-SE"/>
        </w:rPr>
      </w:pPr>
      <w:r w:rsidRPr="003108E4">
        <w:rPr>
          <w:rFonts w:eastAsia="Times New Roman" w:asciiTheme="majorHAnsi" w:hAnsiTheme="majorHAnsi" w:cstheme="majorHAnsi"/>
          <w:szCs w:val="22"/>
          <w:lang w:eastAsia="sv-SE"/>
        </w:rPr>
        <w:lastRenderedPageBreak/>
        <w:t>Styrelsen har konstaterat att en företrädesemission, jämfört med den Riktade Emissionen, (i) skulle ta betydligt längre tid att genomföra och därmed medföra ökad marknadsriskexponering, (ii) skulle kräva betydande garantiförbindelser från ett garantikonsortium med tanke på den nuvarande marknadsvolatiliteten, vilket skulle medföra ytterligare kostnader och/eller ytterligare utspädning beroende på vilken typ av ersättning som betalas för sådana garantiförbindelser, och (iii) sannolikt skulle ha behövt genomföras till ett väsentligt lägre teckningspris med tanke på rabattnivåerna i företrädesemissioner som historiskt har genomförts på marknaden.</w:t>
      </w:r>
    </w:p>
    <w:p w:rsidR="003108E4" w:rsidP="00D10E0E" w:rsidRDefault="003108E4" w14:paraId="6577ED24" w14:textId="34F65AF0">
      <w:pPr>
        <w:spacing w:after="100" w:afterAutospacing="1"/>
        <w:jc w:val="both"/>
        <w:rPr>
          <w:rFonts w:eastAsia="Times New Roman" w:asciiTheme="majorHAnsi" w:hAnsiTheme="majorHAnsi" w:cstheme="majorHAnsi"/>
          <w:szCs w:val="22"/>
          <w:lang w:eastAsia="sv-SE"/>
        </w:rPr>
      </w:pPr>
      <w:r w:rsidRPr="003108E4">
        <w:rPr>
          <w:rFonts w:eastAsia="Times New Roman" w:asciiTheme="majorHAnsi" w:hAnsiTheme="majorHAnsi" w:cstheme="majorHAnsi"/>
          <w:szCs w:val="22"/>
          <w:lang w:eastAsia="sv-SE"/>
        </w:rPr>
        <w:t>Den Riktade Emissionen kommer bland annat att (i) ge Bolaget betydande och ansedda långsiktiga aktieägare, vilket diversifierar och stärker Bolagets aktieägarbas, (ii) ytterligare stärka Bolagets finansiella ställning för att möjliggöra fortsatt utveckling och kommersialisering av biosimilarer, (iii) genomföras på ett mer tidseffektivt sätt och till en lägre kostnad och med mindre komplexitet och negativ effekt på Bolagets aktiekurs än en företrädesemission, och (iv) säkerställa en stark balansräkning i den nuvarande marknadssituationen. Styrelsens samlade bedömning är att skälen för att genomföra den Riktade Emissionen väger tyngre än skälen som motiverar huvudregeln att emissioner ska göras med företrädesrätt för aktieägarna.</w:t>
      </w:r>
      <w:r w:rsidR="00F6457F">
        <w:rPr>
          <w:rFonts w:eastAsia="Times New Roman" w:asciiTheme="majorHAnsi" w:hAnsiTheme="majorHAnsi" w:cstheme="majorHAnsi"/>
          <w:szCs w:val="22"/>
          <w:lang w:eastAsia="sv-SE"/>
        </w:rPr>
        <w:t xml:space="preserve"> </w:t>
      </w:r>
    </w:p>
    <w:p w:rsidRPr="003108E4" w:rsidR="00F6457F" w:rsidP="00D10E0E" w:rsidRDefault="00F6457F" w14:paraId="54BA4BB7" w14:textId="3963718C">
      <w:pPr>
        <w:spacing w:after="100" w:afterAutospacing="1"/>
        <w:jc w:val="both"/>
        <w:rPr>
          <w:rFonts w:eastAsia="Times New Roman" w:asciiTheme="majorHAnsi" w:hAnsiTheme="majorHAnsi" w:cstheme="majorHAnsi"/>
          <w:szCs w:val="22"/>
          <w:lang w:eastAsia="sv-SE"/>
        </w:rPr>
      </w:pPr>
      <w:r w:rsidRPr="00F6457F">
        <w:rPr>
          <w:rFonts w:eastAsia="Times New Roman" w:asciiTheme="majorHAnsi" w:hAnsiTheme="majorHAnsi" w:cstheme="majorHAnsi"/>
          <w:szCs w:val="22"/>
          <w:lang w:eastAsia="sv-SE"/>
        </w:rPr>
        <w:t>Styrelsen anser, med hänsyn till det accelererade bookbuilding-förfarandet som genomförts av Sole Manager och Bookrunner, att den Riktade Emissionen, inklusive fastställandet av teckningspriset, har bestämts på marknadsmässiga villkor.</w:t>
      </w:r>
    </w:p>
    <w:p w:rsidR="00F6457F" w:rsidP="00D10E0E" w:rsidRDefault="003108E4" w14:paraId="18D10FFD" w14:textId="77777777">
      <w:pPr>
        <w:spacing w:after="100" w:afterAutospacing="1"/>
        <w:jc w:val="both"/>
        <w:rPr>
          <w:rFonts w:eastAsia="Times New Roman" w:asciiTheme="majorHAnsi" w:hAnsiTheme="majorHAnsi" w:cstheme="majorHAnsi"/>
          <w:szCs w:val="22"/>
          <w:lang w:eastAsia="sv-SE"/>
        </w:rPr>
      </w:pPr>
      <w:r w:rsidRPr="003108E4">
        <w:rPr>
          <w:rFonts w:eastAsia="Times New Roman" w:asciiTheme="majorHAnsi" w:hAnsiTheme="majorHAnsi" w:cstheme="majorHAnsi"/>
          <w:szCs w:val="22"/>
          <w:lang w:eastAsia="sv-SE"/>
        </w:rPr>
        <w:t xml:space="preserve">Ett antal svenska och internationella institutionella och strategiska investerare, inklusive OneSource Specialty Pharma Limited, ett family office baserat i Singapore, Hallberg Management, en svensk fondförvaltare specialiserad på healthcare samt Bolagets största aktieägare, Ashkan Pouya via bolag, har tecknat aktier i den Riktade Emissionen. </w:t>
      </w:r>
    </w:p>
    <w:p w:rsidR="00706419" w:rsidP="00D10E0E" w:rsidRDefault="003108E4" w14:paraId="39562961" w14:textId="782ECA95">
      <w:pPr>
        <w:spacing w:after="100" w:afterAutospacing="1"/>
        <w:jc w:val="both"/>
        <w:rPr>
          <w:rFonts w:eastAsia="Times New Roman" w:asciiTheme="majorHAnsi" w:hAnsiTheme="majorHAnsi" w:cstheme="majorHAnsi"/>
          <w:szCs w:val="22"/>
          <w:lang w:eastAsia="sv-SE"/>
        </w:rPr>
      </w:pPr>
      <w:r w:rsidRPr="003108E4">
        <w:rPr>
          <w:rFonts w:eastAsia="Times New Roman" w:asciiTheme="majorHAnsi" w:hAnsiTheme="majorHAnsi" w:cstheme="majorHAnsi"/>
          <w:szCs w:val="22"/>
          <w:lang w:eastAsia="sv-SE"/>
        </w:rPr>
        <w:t>Den Riktade Emissionen kommer att medföra en utspädning på cirka 40,5 procent av antalet utestående aktier och röster i Bolaget. Antalet aktier och röster i Bolaget kommer att öka med 1 043 478 260 från 1 532 190 295 till 2 575 668 555. Aktiekapitalet kommer att öka med cirka 233 933 281,2 SEK från cirka 343 495 707,5 SEK till cirka 577 428 988,7 SEK.</w:t>
      </w:r>
    </w:p>
    <w:p w:rsidRPr="00704C7E" w:rsidR="00704C7E" w:rsidP="00704C7E" w:rsidRDefault="00704C7E" w14:paraId="2DF0B5F3" w14:textId="77777777">
      <w:pPr>
        <w:jc w:val="both"/>
        <w:rPr>
          <w:rFonts w:eastAsia="Times New Roman" w:asciiTheme="majorHAnsi" w:hAnsiTheme="majorHAnsi" w:cstheme="majorHAnsi"/>
          <w:i/>
          <w:iCs/>
          <w:szCs w:val="22"/>
          <w:lang w:eastAsia="sv-SE"/>
        </w:rPr>
      </w:pPr>
      <w:r w:rsidRPr="00704C7E">
        <w:rPr>
          <w:rFonts w:eastAsia="Times New Roman" w:asciiTheme="majorHAnsi" w:hAnsiTheme="majorHAnsi" w:cstheme="majorHAnsi"/>
          <w:i/>
          <w:iCs/>
          <w:szCs w:val="22"/>
          <w:lang w:eastAsia="sv-SE"/>
        </w:rPr>
        <w:t>Lock-up åtaganden</w:t>
      </w:r>
    </w:p>
    <w:p w:rsidR="00704C7E" w:rsidP="00704C7E" w:rsidRDefault="00704C7E" w14:paraId="44D9A55F" w14:textId="1AB76F3A">
      <w:pPr>
        <w:spacing w:after="100" w:afterAutospacing="1"/>
        <w:jc w:val="both"/>
        <w:rPr>
          <w:rFonts w:eastAsia="Times New Roman" w:asciiTheme="majorHAnsi" w:hAnsiTheme="majorHAnsi" w:cstheme="majorHAnsi"/>
          <w:szCs w:val="22"/>
          <w:lang w:eastAsia="sv-SE"/>
        </w:rPr>
      </w:pPr>
      <w:r w:rsidRPr="00704C7E">
        <w:rPr>
          <w:rFonts w:eastAsia="Times New Roman" w:asciiTheme="majorHAnsi" w:hAnsiTheme="majorHAnsi" w:cstheme="majorHAnsi"/>
          <w:szCs w:val="22"/>
          <w:lang w:eastAsia="sv-SE"/>
        </w:rPr>
        <w:t>I samband med den Riktade Emissionen har Bolaget, med sedvanliga undantag, ingått lock-up åtaganden för framtida aktieemissioner under en period av 90 dagar från prissättningen av den Riktade Emissionen. Styrelseledamöter och Bolagets ledning har, med sedvanliga undantag, gått med på att inte sälja sina aktier i Bolaget under en period av 90 dagar från prissättningen av den Riktade Emissionen.</w:t>
      </w:r>
    </w:p>
    <w:p w:rsidRPr="004F3EB7" w:rsidR="004F3EB7" w:rsidP="004F3EB7" w:rsidRDefault="004F3EB7" w14:paraId="7366049F" w14:textId="7173050A">
      <w:pPr>
        <w:jc w:val="both"/>
        <w:rPr>
          <w:rFonts w:eastAsia="Times New Roman" w:asciiTheme="majorHAnsi" w:hAnsiTheme="majorHAnsi" w:cstheme="majorHAnsi"/>
          <w:szCs w:val="22"/>
          <w:lang w:eastAsia="sv-SE"/>
        </w:rPr>
      </w:pPr>
      <w:r w:rsidRPr="004F3EB7">
        <w:rPr>
          <w:rFonts w:eastAsia="Times New Roman" w:asciiTheme="majorHAnsi" w:hAnsiTheme="majorHAnsi" w:cstheme="majorHAnsi"/>
          <w:i/>
          <w:iCs/>
          <w:szCs w:val="22"/>
          <w:lang w:eastAsia="sv-SE"/>
        </w:rPr>
        <w:t xml:space="preserve">Bolagsstämman </w:t>
      </w:r>
    </w:p>
    <w:p w:rsidR="004F3EB7" w:rsidP="004F3EB7" w:rsidRDefault="004F3EB7" w14:paraId="537F0C18" w14:textId="0B91010D">
      <w:pPr>
        <w:spacing w:after="100" w:afterAutospacing="1"/>
        <w:jc w:val="both"/>
        <w:rPr>
          <w:rFonts w:eastAsia="Times New Roman" w:asciiTheme="majorHAnsi" w:hAnsiTheme="majorHAnsi" w:cstheme="majorHAnsi"/>
          <w:szCs w:val="22"/>
          <w:lang w:eastAsia="sv-SE"/>
        </w:rPr>
      </w:pPr>
      <w:r w:rsidRPr="004F3EB7">
        <w:rPr>
          <w:rFonts w:eastAsia="Times New Roman" w:asciiTheme="majorHAnsi" w:hAnsiTheme="majorHAnsi" w:cstheme="majorHAnsi"/>
          <w:szCs w:val="22"/>
          <w:lang w:eastAsia="sv-SE"/>
        </w:rPr>
        <w:t xml:space="preserve">Bolagsstämman </w:t>
      </w:r>
      <w:r w:rsidR="003A41B9">
        <w:rPr>
          <w:rFonts w:eastAsia="Times New Roman" w:asciiTheme="majorHAnsi" w:hAnsiTheme="majorHAnsi" w:cstheme="majorHAnsi"/>
          <w:szCs w:val="22"/>
          <w:lang w:eastAsia="sv-SE"/>
        </w:rPr>
        <w:t xml:space="preserve">beslutade den </w:t>
      </w:r>
      <w:r w:rsidRPr="004F3EB7">
        <w:rPr>
          <w:rFonts w:eastAsia="Times New Roman" w:asciiTheme="majorHAnsi" w:hAnsiTheme="majorHAnsi" w:cstheme="majorHAnsi"/>
          <w:szCs w:val="22"/>
          <w:lang w:eastAsia="sv-SE"/>
        </w:rPr>
        <w:t>3 juli 2025</w:t>
      </w:r>
      <w:r w:rsidR="003A41B9">
        <w:rPr>
          <w:rFonts w:eastAsia="Times New Roman" w:asciiTheme="majorHAnsi" w:hAnsiTheme="majorHAnsi" w:cstheme="majorHAnsi"/>
          <w:szCs w:val="22"/>
          <w:lang w:eastAsia="sv-SE"/>
        </w:rPr>
        <w:t xml:space="preserve"> att godkänna den Riktade Emissionen</w:t>
      </w:r>
      <w:r w:rsidRPr="004F3EB7">
        <w:rPr>
          <w:rFonts w:eastAsia="Times New Roman" w:asciiTheme="majorHAnsi" w:hAnsiTheme="majorHAnsi" w:cstheme="majorHAnsi"/>
          <w:szCs w:val="22"/>
          <w:lang w:eastAsia="sv-SE"/>
        </w:rPr>
        <w:t xml:space="preserve">. </w:t>
      </w:r>
    </w:p>
    <w:p w:rsidR="00F4245D" w:rsidP="00F4245D" w:rsidRDefault="00F4245D" w14:paraId="5D8B5A1B" w14:textId="54E1F69C">
      <w:pPr>
        <w:jc w:val="both"/>
        <w:rPr>
          <w:rFonts w:eastAsia="Times New Roman" w:asciiTheme="majorHAnsi" w:hAnsiTheme="majorHAnsi" w:cstheme="majorHAnsi"/>
          <w:szCs w:val="22"/>
          <w:lang w:eastAsia="sv-SE"/>
        </w:rPr>
      </w:pPr>
      <w:r>
        <w:rPr>
          <w:rFonts w:eastAsia="Times New Roman" w:asciiTheme="majorHAnsi" w:hAnsiTheme="majorHAnsi" w:cstheme="majorHAnsi"/>
          <w:i/>
          <w:iCs/>
          <w:szCs w:val="22"/>
          <w:lang w:eastAsia="sv-SE"/>
        </w:rPr>
        <w:t>Utländska direktinvesteringar]</w:t>
      </w:r>
    </w:p>
    <w:p w:rsidRPr="00BE1509" w:rsidR="00424EC6" w:rsidP="004F3EB7" w:rsidRDefault="00424EC6" w14:paraId="5D02FD44" w14:textId="605A301A">
      <w:pPr>
        <w:spacing w:after="100" w:afterAutospacing="1"/>
        <w:jc w:val="both"/>
        <w:rPr>
          <w:rFonts w:eastAsia="Times New Roman" w:asciiTheme="majorHAnsi" w:hAnsiTheme="majorHAnsi" w:cstheme="majorHAnsi"/>
          <w:szCs w:val="22"/>
          <w:lang w:eastAsia="sv-SE"/>
        </w:rPr>
      </w:pPr>
      <w:r w:rsidRPr="00424EC6">
        <w:rPr>
          <w:rFonts w:eastAsia="Times New Roman" w:asciiTheme="majorHAnsi" w:hAnsiTheme="majorHAnsi" w:cstheme="majorHAnsi"/>
          <w:szCs w:val="22"/>
          <w:lang w:eastAsia="sv-SE"/>
        </w:rPr>
        <w:t xml:space="preserve">Eftersom Xbrane har gjort bedömningen att Bolaget bedriver skyddsvärd verksamhet enligt lag (2023:560) om granskning av utländska direktinvesteringar </w:t>
      </w:r>
      <w:r w:rsidR="00FF4B6F">
        <w:rPr>
          <w:rFonts w:eastAsia="Times New Roman" w:asciiTheme="majorHAnsi" w:hAnsiTheme="majorHAnsi" w:cstheme="majorHAnsi"/>
          <w:szCs w:val="22"/>
          <w:lang w:eastAsia="sv-SE"/>
        </w:rPr>
        <w:t>kommer</w:t>
      </w:r>
      <w:r w:rsidRPr="00424EC6">
        <w:rPr>
          <w:rFonts w:eastAsia="Times New Roman" w:asciiTheme="majorHAnsi" w:hAnsiTheme="majorHAnsi" w:cstheme="majorHAnsi"/>
          <w:szCs w:val="22"/>
          <w:lang w:eastAsia="sv-SE"/>
        </w:rPr>
        <w:t xml:space="preserve"> vissa investeringar i den Riktade Emissionen förutsätta prövning av Inspektionen för strategiska produkter</w:t>
      </w:r>
      <w:r>
        <w:rPr>
          <w:rFonts w:eastAsia="Times New Roman" w:asciiTheme="majorHAnsi" w:hAnsiTheme="majorHAnsi" w:cstheme="majorHAnsi"/>
          <w:szCs w:val="22"/>
          <w:lang w:eastAsia="sv-SE"/>
        </w:rPr>
        <w:t xml:space="preserve"> (”</w:t>
      </w:r>
      <w:r w:rsidRPr="00424EC6">
        <w:rPr>
          <w:rFonts w:eastAsia="Times New Roman" w:asciiTheme="majorHAnsi" w:hAnsiTheme="majorHAnsi" w:cstheme="majorHAnsi"/>
          <w:b/>
          <w:bCs/>
          <w:szCs w:val="22"/>
          <w:lang w:eastAsia="sv-SE"/>
        </w:rPr>
        <w:t>ISP</w:t>
      </w:r>
      <w:r>
        <w:rPr>
          <w:rFonts w:eastAsia="Times New Roman" w:asciiTheme="majorHAnsi" w:hAnsiTheme="majorHAnsi" w:cstheme="majorHAnsi"/>
          <w:szCs w:val="22"/>
          <w:lang w:eastAsia="sv-SE"/>
        </w:rPr>
        <w:t>”)</w:t>
      </w:r>
      <w:r w:rsidRPr="00424EC6">
        <w:rPr>
          <w:rFonts w:eastAsia="Times New Roman" w:asciiTheme="majorHAnsi" w:hAnsiTheme="majorHAnsi" w:cstheme="majorHAnsi"/>
          <w:szCs w:val="22"/>
          <w:lang w:eastAsia="sv-SE"/>
        </w:rPr>
        <w:t>. För mer information, vänligen besök Inspektionen för strategiska produkters hemsida, www.isp.se, eller kontakta Bolaget.</w:t>
      </w:r>
    </w:p>
    <w:p w:rsidRPr="00260226" w:rsidR="0058004E" w:rsidP="0058004E" w:rsidRDefault="00706419" w14:paraId="1F8602C1" w14:textId="090C7BEE">
      <w:pPr>
        <w:pStyle w:val="Heading3"/>
        <w:rPr>
          <w:rFonts w:asciiTheme="majorHAnsi" w:hAnsiTheme="majorHAnsi" w:cstheme="majorHAnsi"/>
          <w:color w:val="auto"/>
        </w:rPr>
      </w:pPr>
      <w:r w:rsidRPr="00BE1509">
        <w:rPr>
          <w:rFonts w:asciiTheme="majorHAnsi" w:hAnsiTheme="majorHAnsi" w:cstheme="majorHAnsi"/>
          <w:b/>
          <w:bCs/>
          <w:color w:val="auto"/>
          <w:lang w:eastAsia="sv-SE"/>
        </w:rPr>
        <w:t>Användning av emissionslikviden</w:t>
      </w:r>
    </w:p>
    <w:p w:rsidR="00E42016" w:rsidP="00E42016" w:rsidRDefault="00E42016" w14:paraId="080EEA4B" w14:textId="5B7D3949">
      <w:pPr>
        <w:jc w:val="both"/>
        <w:rPr>
          <w:rFonts w:eastAsia="Times New Roman" w:asciiTheme="majorHAnsi" w:hAnsiTheme="majorHAnsi" w:cstheme="majorHAnsi"/>
          <w:szCs w:val="22"/>
          <w:lang w:eastAsia="sv-SE"/>
        </w:rPr>
      </w:pPr>
      <w:r w:rsidRPr="00E42016">
        <w:rPr>
          <w:rFonts w:eastAsia="Times New Roman" w:asciiTheme="majorHAnsi" w:hAnsiTheme="majorHAnsi" w:cstheme="majorHAnsi"/>
          <w:szCs w:val="22"/>
          <w:lang w:eastAsia="sv-SE"/>
        </w:rPr>
        <w:t>Nettolikviden från den Riktade Emissionen kommer huvudsakligen att finansiera följande aktiviteter:</w:t>
      </w:r>
    </w:p>
    <w:p w:rsidR="00E42016" w:rsidP="00E42016" w:rsidRDefault="00E42016" w14:paraId="2AC7EBD8" w14:textId="77777777">
      <w:pPr>
        <w:pStyle w:val="ListParagraph"/>
        <w:numPr>
          <w:ilvl w:val="0"/>
          <w:numId w:val="45"/>
        </w:numPr>
        <w:jc w:val="both"/>
        <w:rPr>
          <w:rFonts w:eastAsia="Times New Roman" w:asciiTheme="majorHAnsi" w:hAnsiTheme="majorHAnsi" w:cstheme="majorHAnsi"/>
          <w:szCs w:val="22"/>
          <w:lang w:eastAsia="sv-SE"/>
        </w:rPr>
      </w:pPr>
      <w:r w:rsidRPr="00E42016">
        <w:rPr>
          <w:rFonts w:eastAsia="Times New Roman" w:asciiTheme="majorHAnsi" w:hAnsiTheme="majorHAnsi" w:cstheme="majorHAnsi"/>
          <w:szCs w:val="22"/>
          <w:lang w:eastAsia="sv-SE"/>
        </w:rPr>
        <w:t>Den amerikanska livsmedels-och läkemedelsmyndighetens (”</w:t>
      </w:r>
      <w:r w:rsidRPr="00533ADC">
        <w:rPr>
          <w:rFonts w:eastAsia="Times New Roman" w:asciiTheme="majorHAnsi" w:hAnsiTheme="majorHAnsi" w:cstheme="majorHAnsi"/>
          <w:b/>
          <w:bCs/>
          <w:szCs w:val="22"/>
          <w:lang w:eastAsia="sv-SE"/>
        </w:rPr>
        <w:t>FDA</w:t>
      </w:r>
      <w:r w:rsidRPr="00E42016">
        <w:rPr>
          <w:rFonts w:eastAsia="Times New Roman" w:asciiTheme="majorHAnsi" w:hAnsiTheme="majorHAnsi" w:cstheme="majorHAnsi"/>
          <w:szCs w:val="22"/>
          <w:lang w:eastAsia="sv-SE"/>
        </w:rPr>
        <w:t>”) regulatoriska process för Lucamzi™ och utveckling av förfyllda sprutor för Ximluci® / Lucamzi™ (cirka 40 procent);</w:t>
      </w:r>
    </w:p>
    <w:p w:rsidR="00E42016" w:rsidP="00E42016" w:rsidRDefault="00E42016" w14:paraId="724382F8" w14:textId="77777777">
      <w:pPr>
        <w:pStyle w:val="ListParagraph"/>
        <w:numPr>
          <w:ilvl w:val="0"/>
          <w:numId w:val="45"/>
        </w:numPr>
        <w:jc w:val="both"/>
        <w:rPr>
          <w:rFonts w:eastAsia="Times New Roman" w:asciiTheme="majorHAnsi" w:hAnsiTheme="majorHAnsi" w:cstheme="majorHAnsi"/>
          <w:szCs w:val="22"/>
          <w:lang w:eastAsia="sv-SE"/>
        </w:rPr>
      </w:pPr>
      <w:r w:rsidRPr="00E42016">
        <w:rPr>
          <w:rFonts w:eastAsia="Times New Roman" w:asciiTheme="majorHAnsi" w:hAnsiTheme="majorHAnsi" w:cstheme="majorHAnsi"/>
          <w:szCs w:val="22"/>
          <w:lang w:eastAsia="sv-SE"/>
        </w:rPr>
        <w:t>Betalning av de ackumulerade leverantörsskulderna relaterade till Xdivane™, samt kommande kostnader relaterade till produktion av material till kliniska studier och utveckling av kemi, tillverkning och kontroll (CMC) (cirka 55 procent);</w:t>
      </w:r>
    </w:p>
    <w:p w:rsidRPr="00853ED0" w:rsidR="00853ED0" w:rsidP="00853ED0" w:rsidRDefault="00E42016" w14:paraId="06178FD0" w14:textId="19A083D8">
      <w:pPr>
        <w:pStyle w:val="ListParagraph"/>
        <w:numPr>
          <w:ilvl w:val="0"/>
          <w:numId w:val="45"/>
        </w:numPr>
        <w:spacing w:after="240"/>
        <w:jc w:val="both"/>
        <w:rPr>
          <w:rFonts w:eastAsia="Times New Roman" w:asciiTheme="majorHAnsi" w:hAnsiTheme="majorHAnsi" w:cstheme="majorHAnsi"/>
          <w:szCs w:val="22"/>
          <w:lang w:eastAsia="sv-SE"/>
        </w:rPr>
      </w:pPr>
      <w:r w:rsidRPr="00E42016">
        <w:rPr>
          <w:rFonts w:eastAsia="Times New Roman" w:asciiTheme="majorHAnsi" w:hAnsiTheme="majorHAnsi" w:cstheme="majorHAnsi"/>
          <w:szCs w:val="22"/>
          <w:lang w:eastAsia="sv-SE"/>
        </w:rPr>
        <w:lastRenderedPageBreak/>
        <w:t>Allmänna företagsändamål (cirka 5 procent).</w:t>
      </w:r>
    </w:p>
    <w:p w:rsidRPr="00487A24" w:rsidR="004152BE" w:rsidP="00487A24" w:rsidRDefault="00E42016" w14:paraId="0064486C" w14:textId="1976FC32">
      <w:pPr>
        <w:spacing w:after="100" w:afterAutospacing="1"/>
        <w:jc w:val="both"/>
        <w:rPr>
          <w:rFonts w:eastAsia="Times New Roman" w:asciiTheme="majorHAnsi" w:hAnsiTheme="majorHAnsi" w:cstheme="majorHAnsi"/>
          <w:szCs w:val="22"/>
          <w:lang w:eastAsia="sv-SE"/>
        </w:rPr>
      </w:pPr>
      <w:r w:rsidRPr="00E42016">
        <w:rPr>
          <w:rFonts w:eastAsia="Times New Roman" w:asciiTheme="majorHAnsi" w:hAnsiTheme="majorHAnsi" w:cstheme="majorHAnsi"/>
          <w:szCs w:val="22"/>
          <w:lang w:eastAsia="sv-SE"/>
        </w:rPr>
        <w:t>Förutsatt att affärsplanen lyckas genomföras, inklusive att FDA-godkännande erhålls i tid, förväntas nettolikviden från den Riktade Emissionen, täcka Bolagets rörelsekapitalbehov fram tills att Bolaget har ett positivt kassaflöde.</w:t>
      </w:r>
    </w:p>
    <w:p w:rsidRPr="00BE1509" w:rsidR="00B004B1" w:rsidP="00CD5A05" w:rsidRDefault="00B004B1" w14:paraId="4807A355" w14:textId="357EEB7D">
      <w:pPr>
        <w:pStyle w:val="Heading2"/>
        <w:keepNext/>
        <w:jc w:val="both"/>
        <w:rPr>
          <w:rFonts w:eastAsia="Times New Roman" w:asciiTheme="majorHAnsi" w:hAnsiTheme="majorHAnsi" w:cstheme="majorHAnsi"/>
          <w:color w:val="auto"/>
          <w:szCs w:val="22"/>
          <w:lang w:eastAsia="sv-SE"/>
        </w:rPr>
      </w:pPr>
      <w:r w:rsidRPr="00CD5A05">
        <w:rPr>
          <w:rFonts w:asciiTheme="majorHAnsi" w:hAnsiTheme="majorHAnsi" w:cstheme="majorHAnsi"/>
          <w:color w:val="auto"/>
          <w:sz w:val="26"/>
          <w:szCs w:val="26"/>
        </w:rPr>
        <w:t>Information om värdepappren</w:t>
      </w:r>
    </w:p>
    <w:p w:rsidR="001C68FE" w:rsidP="00B004B1" w:rsidRDefault="00B004B1" w14:paraId="7868798E" w14:textId="77777777">
      <w:pPr>
        <w:spacing w:after="100" w:afterAutospacing="1"/>
        <w:jc w:val="both"/>
        <w:rPr>
          <w:rFonts w:eastAsia="Times New Roman" w:asciiTheme="majorHAnsi" w:hAnsiTheme="majorHAnsi" w:cstheme="majorHAnsi"/>
          <w:szCs w:val="22"/>
          <w:lang w:eastAsia="sv-SE"/>
        </w:rPr>
      </w:pPr>
      <w:r w:rsidRPr="00BE1509">
        <w:rPr>
          <w:rFonts w:eastAsia="Times New Roman" w:asciiTheme="majorHAnsi" w:hAnsiTheme="majorHAnsi" w:cstheme="majorHAnsi"/>
          <w:szCs w:val="22"/>
          <w:lang w:eastAsia="sv-SE"/>
        </w:rPr>
        <w:t xml:space="preserve">Aktien i </w:t>
      </w:r>
      <w:r w:rsidRPr="00260226" w:rsidR="00C43A16">
        <w:rPr>
          <w:rFonts w:eastAsia="Times New Roman" w:asciiTheme="majorHAnsi" w:hAnsiTheme="majorHAnsi" w:cstheme="majorHAnsi"/>
          <w:szCs w:val="22"/>
          <w:lang w:eastAsia="sv-SE"/>
        </w:rPr>
        <w:t>Xbrane</w:t>
      </w:r>
      <w:r w:rsidRPr="00BE1509">
        <w:rPr>
          <w:rFonts w:eastAsia="Times New Roman" w:asciiTheme="majorHAnsi" w:hAnsiTheme="majorHAnsi" w:cstheme="majorHAnsi"/>
          <w:szCs w:val="22"/>
          <w:lang w:eastAsia="sv-SE"/>
        </w:rPr>
        <w:t xml:space="preserve"> är upptagen till handel på </w:t>
      </w:r>
      <w:r w:rsidRPr="00260226" w:rsidR="00C43A16">
        <w:rPr>
          <w:rFonts w:eastAsia="Times New Roman" w:asciiTheme="majorHAnsi" w:hAnsiTheme="majorHAnsi" w:cstheme="majorHAnsi"/>
          <w:szCs w:val="22"/>
          <w:lang w:eastAsia="sv-SE"/>
        </w:rPr>
        <w:t xml:space="preserve">Nasdaq </w:t>
      </w:r>
      <w:r w:rsidRPr="00BE1509">
        <w:rPr>
          <w:rFonts w:eastAsia="Times New Roman" w:asciiTheme="majorHAnsi" w:hAnsiTheme="majorHAnsi" w:cstheme="majorHAnsi"/>
          <w:szCs w:val="22"/>
          <w:lang w:eastAsia="sv-SE"/>
        </w:rPr>
        <w:t xml:space="preserve">Stockholm, Sverige. Aktierna handlas under kortnamnet (ticker) </w:t>
      </w:r>
      <w:r w:rsidRPr="00260226" w:rsidR="007D2177">
        <w:rPr>
          <w:rFonts w:eastAsia="Times New Roman" w:asciiTheme="majorHAnsi" w:hAnsiTheme="majorHAnsi" w:cstheme="majorHAnsi"/>
          <w:szCs w:val="22"/>
          <w:lang w:eastAsia="sv-SE"/>
        </w:rPr>
        <w:t>XBRANE</w:t>
      </w:r>
      <w:r w:rsidRPr="00260226" w:rsidDel="007D2177" w:rsidR="007D2177">
        <w:rPr>
          <w:rFonts w:eastAsia="Times New Roman" w:asciiTheme="majorHAnsi" w:hAnsiTheme="majorHAnsi" w:cstheme="majorHAnsi"/>
          <w:szCs w:val="22"/>
          <w:lang w:eastAsia="sv-SE"/>
        </w:rPr>
        <w:t xml:space="preserve"> </w:t>
      </w:r>
      <w:r w:rsidRPr="00BE1509">
        <w:rPr>
          <w:rFonts w:eastAsia="Times New Roman" w:asciiTheme="majorHAnsi" w:hAnsiTheme="majorHAnsi" w:cstheme="majorHAnsi"/>
          <w:szCs w:val="22"/>
          <w:lang w:eastAsia="sv-SE"/>
        </w:rPr>
        <w:t xml:space="preserve">och har ISIN-kod </w:t>
      </w:r>
      <w:r w:rsidRPr="00260226" w:rsidR="007D2177">
        <w:rPr>
          <w:rFonts w:eastAsia="Times New Roman" w:asciiTheme="majorHAnsi" w:hAnsiTheme="majorHAnsi" w:cstheme="majorHAnsi"/>
          <w:szCs w:val="22"/>
          <w:lang w:eastAsia="sv-SE"/>
        </w:rPr>
        <w:t>SE0007789409</w:t>
      </w:r>
      <w:r w:rsidRPr="00BE1509">
        <w:rPr>
          <w:rFonts w:eastAsia="Times New Roman" w:asciiTheme="majorHAnsi" w:hAnsiTheme="majorHAnsi" w:cstheme="majorHAnsi"/>
          <w:szCs w:val="22"/>
          <w:lang w:eastAsia="sv-SE"/>
        </w:rPr>
        <w:t>. </w:t>
      </w:r>
    </w:p>
    <w:p w:rsidR="001C68FE" w:rsidP="00B004B1" w:rsidRDefault="00F74E14" w14:paraId="15DB58B2" w14:textId="60A1C345">
      <w:pPr>
        <w:spacing w:after="100" w:afterAutospacing="1"/>
        <w:jc w:val="both"/>
        <w:rPr>
          <w:rFonts w:eastAsia="Times New Roman" w:asciiTheme="majorHAnsi" w:hAnsiTheme="majorHAnsi" w:cstheme="majorHAnsi"/>
          <w:szCs w:val="22"/>
          <w:lang w:eastAsia="sv-SE"/>
        </w:rPr>
      </w:pPr>
      <w:r w:rsidRPr="00F74E14">
        <w:rPr>
          <w:rFonts w:eastAsia="Times New Roman" w:asciiTheme="majorHAnsi" w:hAnsiTheme="majorHAnsi" w:cstheme="majorHAnsi"/>
          <w:szCs w:val="22"/>
          <w:lang w:eastAsia="sv-SE"/>
        </w:rPr>
        <w:t>Enligt Bolagets bolagsordning får aktiekapitalet inte understiga 180 000</w:t>
      </w:r>
      <w:r w:rsidR="00C225F1">
        <w:rPr>
          <w:rFonts w:eastAsia="Times New Roman" w:asciiTheme="majorHAnsi" w:hAnsiTheme="majorHAnsi" w:cstheme="majorHAnsi"/>
          <w:szCs w:val="22"/>
          <w:lang w:eastAsia="sv-SE"/>
        </w:rPr>
        <w:t> </w:t>
      </w:r>
      <w:r w:rsidRPr="00F74E14">
        <w:rPr>
          <w:rFonts w:eastAsia="Times New Roman" w:asciiTheme="majorHAnsi" w:hAnsiTheme="majorHAnsi" w:cstheme="majorHAnsi"/>
          <w:szCs w:val="22"/>
          <w:lang w:eastAsia="sv-SE"/>
        </w:rPr>
        <w:t>000 SEK och inte överstiga 720 000</w:t>
      </w:r>
      <w:r w:rsidR="00C225F1">
        <w:rPr>
          <w:rFonts w:eastAsia="Times New Roman" w:asciiTheme="majorHAnsi" w:hAnsiTheme="majorHAnsi" w:cstheme="majorHAnsi"/>
          <w:szCs w:val="22"/>
          <w:lang w:eastAsia="sv-SE"/>
        </w:rPr>
        <w:t> </w:t>
      </w:r>
      <w:r w:rsidRPr="00F74E14">
        <w:rPr>
          <w:rFonts w:eastAsia="Times New Roman" w:asciiTheme="majorHAnsi" w:hAnsiTheme="majorHAnsi" w:cstheme="majorHAnsi"/>
          <w:szCs w:val="22"/>
          <w:lang w:eastAsia="sv-SE"/>
        </w:rPr>
        <w:t>000 SEK, och antalet aktier får inte understiga 820 000</w:t>
      </w:r>
      <w:r w:rsidR="00C225F1">
        <w:rPr>
          <w:rFonts w:eastAsia="Times New Roman" w:asciiTheme="majorHAnsi" w:hAnsiTheme="majorHAnsi" w:cstheme="majorHAnsi"/>
          <w:szCs w:val="22"/>
          <w:lang w:eastAsia="sv-SE"/>
        </w:rPr>
        <w:t> </w:t>
      </w:r>
      <w:r w:rsidRPr="00F74E14">
        <w:rPr>
          <w:rFonts w:eastAsia="Times New Roman" w:asciiTheme="majorHAnsi" w:hAnsiTheme="majorHAnsi" w:cstheme="majorHAnsi"/>
          <w:szCs w:val="22"/>
          <w:lang w:eastAsia="sv-SE"/>
        </w:rPr>
        <w:t>000 och inte överstiga 3 280 000</w:t>
      </w:r>
      <w:r w:rsidR="00C225F1">
        <w:rPr>
          <w:rFonts w:eastAsia="Times New Roman" w:asciiTheme="majorHAnsi" w:hAnsiTheme="majorHAnsi" w:cstheme="majorHAnsi"/>
          <w:szCs w:val="22"/>
          <w:lang w:eastAsia="sv-SE"/>
        </w:rPr>
        <w:t> </w:t>
      </w:r>
      <w:r w:rsidRPr="00F74E14">
        <w:rPr>
          <w:rFonts w:eastAsia="Times New Roman" w:asciiTheme="majorHAnsi" w:hAnsiTheme="majorHAnsi" w:cstheme="majorHAnsi"/>
          <w:szCs w:val="22"/>
          <w:lang w:eastAsia="sv-SE"/>
        </w:rPr>
        <w:t>0</w:t>
      </w:r>
      <w:r w:rsidRPr="00722A19">
        <w:rPr>
          <w:rFonts w:eastAsia="Times New Roman" w:asciiTheme="majorHAnsi" w:hAnsiTheme="majorHAnsi" w:cstheme="majorHAnsi"/>
          <w:szCs w:val="22"/>
          <w:lang w:eastAsia="sv-SE"/>
        </w:rPr>
        <w:t xml:space="preserve">00. Xbrane </w:t>
      </w:r>
      <w:r w:rsidR="009B679E">
        <w:rPr>
          <w:rFonts w:eastAsia="Times New Roman" w:asciiTheme="majorHAnsi" w:hAnsiTheme="majorHAnsi" w:cstheme="majorHAnsi"/>
          <w:szCs w:val="22"/>
          <w:lang w:eastAsia="sv-SE"/>
        </w:rPr>
        <w:t>har, per idag</w:t>
      </w:r>
      <w:r w:rsidR="00477E94">
        <w:rPr>
          <w:rStyle w:val="FootnoteReference"/>
          <w:rFonts w:eastAsia="Times New Roman" w:asciiTheme="majorHAnsi" w:hAnsiTheme="majorHAnsi" w:cstheme="majorHAnsi"/>
          <w:szCs w:val="22"/>
          <w:lang w:eastAsia="sv-SE"/>
        </w:rPr>
        <w:footnoteReference w:id="1"/>
      </w:r>
      <w:r w:rsidR="009B679E">
        <w:rPr>
          <w:rFonts w:eastAsia="Times New Roman" w:asciiTheme="majorHAnsi" w:hAnsiTheme="majorHAnsi" w:cstheme="majorHAnsi"/>
          <w:szCs w:val="22"/>
          <w:lang w:eastAsia="sv-SE"/>
        </w:rPr>
        <w:t xml:space="preserve">, </w:t>
      </w:r>
      <w:r w:rsidRPr="00477E94" w:rsidR="00477E94">
        <w:rPr>
          <w:rFonts w:eastAsia="Times New Roman" w:asciiTheme="majorHAnsi" w:hAnsiTheme="majorHAnsi" w:cstheme="majorHAnsi"/>
          <w:szCs w:val="22"/>
          <w:lang w:eastAsia="sv-SE"/>
        </w:rPr>
        <w:t>2</w:t>
      </w:r>
      <w:r w:rsidR="00477E94">
        <w:rPr>
          <w:rFonts w:eastAsia="Times New Roman" w:asciiTheme="majorHAnsi" w:hAnsiTheme="majorHAnsi" w:cstheme="majorHAnsi"/>
          <w:szCs w:val="22"/>
          <w:lang w:eastAsia="sv-SE"/>
        </w:rPr>
        <w:t xml:space="preserve"> </w:t>
      </w:r>
      <w:r w:rsidRPr="00477E94" w:rsidR="00477E94">
        <w:rPr>
          <w:rFonts w:eastAsia="Times New Roman" w:asciiTheme="majorHAnsi" w:hAnsiTheme="majorHAnsi" w:cstheme="majorHAnsi"/>
          <w:szCs w:val="22"/>
          <w:lang w:eastAsia="sv-SE"/>
        </w:rPr>
        <w:t>549</w:t>
      </w:r>
      <w:r w:rsidR="00477E94">
        <w:rPr>
          <w:rFonts w:eastAsia="Times New Roman" w:asciiTheme="majorHAnsi" w:hAnsiTheme="majorHAnsi" w:cstheme="majorHAnsi"/>
          <w:szCs w:val="22"/>
          <w:lang w:eastAsia="sv-SE"/>
        </w:rPr>
        <w:t xml:space="preserve"> </w:t>
      </w:r>
      <w:r w:rsidRPr="00477E94" w:rsidR="00477E94">
        <w:rPr>
          <w:rFonts w:eastAsia="Times New Roman" w:asciiTheme="majorHAnsi" w:hAnsiTheme="majorHAnsi" w:cstheme="majorHAnsi"/>
          <w:szCs w:val="22"/>
          <w:lang w:eastAsia="sv-SE"/>
        </w:rPr>
        <w:t>678</w:t>
      </w:r>
      <w:r w:rsidR="00477E94">
        <w:rPr>
          <w:rFonts w:eastAsia="Times New Roman" w:asciiTheme="majorHAnsi" w:hAnsiTheme="majorHAnsi" w:cstheme="majorHAnsi"/>
          <w:szCs w:val="22"/>
          <w:lang w:eastAsia="sv-SE"/>
        </w:rPr>
        <w:t xml:space="preserve"> </w:t>
      </w:r>
      <w:r w:rsidRPr="00477E94" w:rsidR="00477E94">
        <w:rPr>
          <w:rFonts w:eastAsia="Times New Roman" w:asciiTheme="majorHAnsi" w:hAnsiTheme="majorHAnsi" w:cstheme="majorHAnsi"/>
          <w:szCs w:val="22"/>
          <w:lang w:eastAsia="sv-SE"/>
        </w:rPr>
        <w:t>555</w:t>
      </w:r>
      <w:r w:rsidRPr="00722A19">
        <w:rPr>
          <w:rFonts w:eastAsia="Times New Roman" w:asciiTheme="majorHAnsi" w:hAnsiTheme="majorHAnsi" w:cstheme="majorHAnsi"/>
          <w:szCs w:val="22"/>
          <w:lang w:eastAsia="sv-SE"/>
        </w:rPr>
        <w:t xml:space="preserve"> fullt betalda och emitterade aktier och ett aktiekapital uppgående till</w:t>
      </w:r>
      <w:r w:rsidR="00477E94">
        <w:rPr>
          <w:rFonts w:eastAsia="Times New Roman" w:asciiTheme="majorHAnsi" w:hAnsiTheme="majorHAnsi" w:cstheme="majorHAnsi"/>
          <w:szCs w:val="22"/>
          <w:lang w:eastAsia="sv-SE"/>
        </w:rPr>
        <w:t xml:space="preserve"> </w:t>
      </w:r>
      <w:r w:rsidRPr="00477E94" w:rsidR="00477E94">
        <w:rPr>
          <w:rFonts w:eastAsia="Times New Roman" w:asciiTheme="majorHAnsi" w:hAnsiTheme="majorHAnsi" w:cstheme="majorHAnsi"/>
          <w:szCs w:val="22"/>
          <w:lang w:eastAsia="sv-SE"/>
        </w:rPr>
        <w:t>571</w:t>
      </w:r>
      <w:r w:rsidR="00477E94">
        <w:rPr>
          <w:rFonts w:eastAsia="Times New Roman" w:asciiTheme="majorHAnsi" w:hAnsiTheme="majorHAnsi" w:cstheme="majorHAnsi"/>
          <w:szCs w:val="22"/>
          <w:lang w:eastAsia="sv-SE"/>
        </w:rPr>
        <w:t xml:space="preserve"> </w:t>
      </w:r>
      <w:r w:rsidRPr="00477E94" w:rsidR="00477E94">
        <w:rPr>
          <w:rFonts w:eastAsia="Times New Roman" w:asciiTheme="majorHAnsi" w:hAnsiTheme="majorHAnsi" w:cstheme="majorHAnsi"/>
          <w:szCs w:val="22"/>
          <w:lang w:eastAsia="sv-SE"/>
        </w:rPr>
        <w:t>602</w:t>
      </w:r>
      <w:r w:rsidR="00477E94">
        <w:rPr>
          <w:rFonts w:eastAsia="Times New Roman" w:asciiTheme="majorHAnsi" w:hAnsiTheme="majorHAnsi" w:cstheme="majorHAnsi"/>
          <w:szCs w:val="22"/>
          <w:lang w:eastAsia="sv-SE"/>
        </w:rPr>
        <w:t xml:space="preserve"> </w:t>
      </w:r>
      <w:r w:rsidRPr="00477E94" w:rsidR="00477E94">
        <w:rPr>
          <w:rFonts w:eastAsia="Times New Roman" w:asciiTheme="majorHAnsi" w:hAnsiTheme="majorHAnsi" w:cstheme="majorHAnsi"/>
          <w:szCs w:val="22"/>
          <w:lang w:eastAsia="sv-SE"/>
        </w:rPr>
        <w:t>392,976349</w:t>
      </w:r>
      <w:r w:rsidRPr="00722A19">
        <w:rPr>
          <w:rFonts w:eastAsia="Times New Roman" w:asciiTheme="majorHAnsi" w:hAnsiTheme="majorHAnsi" w:cstheme="majorHAnsi"/>
          <w:szCs w:val="22"/>
          <w:lang w:eastAsia="sv-SE"/>
        </w:rPr>
        <w:t xml:space="preserve"> SEK.</w:t>
      </w:r>
      <w:r w:rsidR="00B8077F">
        <w:rPr>
          <w:rFonts w:eastAsia="Times New Roman" w:asciiTheme="majorHAnsi" w:hAnsiTheme="majorHAnsi" w:cstheme="majorHAnsi"/>
          <w:szCs w:val="22"/>
          <w:lang w:eastAsia="sv-SE"/>
        </w:rPr>
        <w:t xml:space="preserve"> </w:t>
      </w:r>
      <w:r w:rsidRPr="00F74E14" w:rsidR="00B8077F">
        <w:rPr>
          <w:rFonts w:eastAsia="Times New Roman" w:asciiTheme="majorHAnsi" w:hAnsiTheme="majorHAnsi" w:cstheme="majorHAnsi"/>
          <w:szCs w:val="22"/>
          <w:lang w:eastAsia="sv-SE"/>
        </w:rPr>
        <w:t>Aktierna är denominerade i SEK och varje aktie har ett kvotvärde om cirka 0,2242 SEK. Samtliga emitterade aktier är fullt betalda och fritt överlåtbara. Det finns inga inskränkningar till att fritt överlåta aktierna.</w:t>
      </w:r>
      <w:r w:rsidR="00B8077F">
        <w:rPr>
          <w:rFonts w:eastAsia="Times New Roman" w:asciiTheme="majorHAnsi" w:hAnsiTheme="majorHAnsi" w:cstheme="majorHAnsi"/>
          <w:szCs w:val="22"/>
          <w:lang w:eastAsia="sv-SE"/>
        </w:rPr>
        <w:t xml:space="preserve"> </w:t>
      </w:r>
      <w:r w:rsidR="007843F5">
        <w:rPr>
          <w:rFonts w:eastAsia="Times New Roman" w:asciiTheme="majorHAnsi" w:hAnsiTheme="majorHAnsi" w:cstheme="majorHAnsi"/>
          <w:szCs w:val="22"/>
          <w:lang w:eastAsia="sv-SE"/>
        </w:rPr>
        <w:t xml:space="preserve">Aktierna som emitteras i samband med den Riktade Emissionen är av samma slag som Xbranes befintliga aktier och kommer handlas under samma kortnamn och ISIN-kod som de aktier som redan </w:t>
      </w:r>
      <w:r w:rsidR="00B85E1D">
        <w:rPr>
          <w:rFonts w:eastAsia="Times New Roman" w:asciiTheme="majorHAnsi" w:hAnsiTheme="majorHAnsi" w:cstheme="majorHAnsi"/>
          <w:szCs w:val="22"/>
          <w:lang w:eastAsia="sv-SE"/>
        </w:rPr>
        <w:t>finns</w:t>
      </w:r>
      <w:r w:rsidR="007843F5">
        <w:rPr>
          <w:rFonts w:eastAsia="Times New Roman" w:asciiTheme="majorHAnsi" w:hAnsiTheme="majorHAnsi" w:cstheme="majorHAnsi"/>
          <w:szCs w:val="22"/>
          <w:lang w:eastAsia="sv-SE"/>
        </w:rPr>
        <w:t xml:space="preserve"> upptagna till handel. </w:t>
      </w:r>
    </w:p>
    <w:p w:rsidR="00B8077F" w:rsidP="00CD5A05" w:rsidRDefault="00B8077F" w14:paraId="18F2BA6F" w14:textId="77777777">
      <w:pPr>
        <w:pStyle w:val="Heading3"/>
        <w:rPr>
          <w:rFonts w:eastAsia="Times New Roman" w:asciiTheme="majorHAnsi" w:hAnsiTheme="majorHAnsi" w:cstheme="majorHAnsi"/>
          <w:szCs w:val="22"/>
          <w:lang w:eastAsia="sv-SE"/>
        </w:rPr>
      </w:pPr>
      <w:r w:rsidRPr="00CD5A05">
        <w:rPr>
          <w:rFonts w:asciiTheme="majorHAnsi" w:hAnsiTheme="majorHAnsi" w:cstheme="majorHAnsi"/>
          <w:b/>
          <w:bCs/>
          <w:color w:val="auto"/>
          <w:lang w:eastAsia="sv-SE"/>
        </w:rPr>
        <w:t>Upptagande till handel</w:t>
      </w:r>
    </w:p>
    <w:p w:rsidR="00B004B1" w:rsidP="00B004B1" w:rsidRDefault="0020462B" w14:paraId="6811C074" w14:textId="377F5504">
      <w:pPr>
        <w:spacing w:after="100" w:afterAutospacing="1"/>
        <w:jc w:val="both"/>
        <w:rPr>
          <w:rFonts w:eastAsia="Times New Roman" w:asciiTheme="majorHAnsi" w:hAnsiTheme="majorHAnsi" w:cstheme="majorHAnsi"/>
          <w:szCs w:val="22"/>
          <w:lang w:eastAsia="sv-SE"/>
        </w:rPr>
      </w:pPr>
      <w:r>
        <w:rPr>
          <w:rFonts w:eastAsia="Times New Roman" w:asciiTheme="majorHAnsi" w:hAnsiTheme="majorHAnsi" w:cstheme="majorHAnsi"/>
          <w:szCs w:val="22"/>
          <w:lang w:eastAsia="sv-SE"/>
        </w:rPr>
        <w:t xml:space="preserve">Detta dokument avser upptagande till handel av högst </w:t>
      </w:r>
      <w:r w:rsidRPr="00831413" w:rsidR="00831413">
        <w:rPr>
          <w:rFonts w:eastAsia="Times New Roman" w:asciiTheme="majorHAnsi" w:hAnsiTheme="majorHAnsi" w:cstheme="majorHAnsi"/>
          <w:szCs w:val="22"/>
          <w:lang w:eastAsia="sv-SE"/>
        </w:rPr>
        <w:t>1 043 478 260</w:t>
      </w:r>
      <w:r>
        <w:rPr>
          <w:rFonts w:eastAsia="Times New Roman" w:asciiTheme="majorHAnsi" w:hAnsiTheme="majorHAnsi" w:cstheme="majorHAnsi"/>
          <w:szCs w:val="22"/>
          <w:lang w:eastAsia="sv-SE"/>
        </w:rPr>
        <w:t xml:space="preserve"> aktier (ISIN-kod: </w:t>
      </w:r>
      <w:r w:rsidRPr="00B85E1D" w:rsidR="00B85E1D">
        <w:rPr>
          <w:rFonts w:eastAsia="Times New Roman" w:asciiTheme="majorHAnsi" w:hAnsiTheme="majorHAnsi" w:cstheme="majorHAnsi"/>
          <w:szCs w:val="22"/>
          <w:lang w:eastAsia="sv-SE"/>
        </w:rPr>
        <w:t>SE0007789409</w:t>
      </w:r>
      <w:r>
        <w:rPr>
          <w:rFonts w:eastAsia="Times New Roman" w:asciiTheme="majorHAnsi" w:hAnsiTheme="majorHAnsi" w:cstheme="majorHAnsi"/>
          <w:szCs w:val="22"/>
          <w:lang w:eastAsia="sv-SE"/>
        </w:rPr>
        <w:t xml:space="preserve">). De nyemitterande aktierna beräknas tas upp till handel på Nasdaq Stockholm </w:t>
      </w:r>
      <w:r w:rsidRPr="00BE1509" w:rsidR="00B004B1">
        <w:rPr>
          <w:rFonts w:eastAsia="Times New Roman" w:asciiTheme="majorHAnsi" w:hAnsiTheme="majorHAnsi" w:cstheme="majorHAnsi"/>
          <w:szCs w:val="22"/>
          <w:lang w:eastAsia="sv-SE"/>
        </w:rPr>
        <w:t xml:space="preserve">omkring den </w:t>
      </w:r>
      <w:r w:rsidR="003A41B9">
        <w:rPr>
          <w:rFonts w:eastAsia="Times New Roman" w:asciiTheme="majorHAnsi" w:hAnsiTheme="majorHAnsi" w:cstheme="majorHAnsi"/>
          <w:szCs w:val="22"/>
          <w:lang w:eastAsia="sv-SE"/>
        </w:rPr>
        <w:t>11 juli</w:t>
      </w:r>
      <w:r w:rsidRPr="00BE1509" w:rsidR="003A41B9">
        <w:rPr>
          <w:rFonts w:eastAsia="Times New Roman" w:asciiTheme="majorHAnsi" w:hAnsiTheme="majorHAnsi" w:cstheme="majorHAnsi"/>
          <w:szCs w:val="22"/>
          <w:lang w:eastAsia="sv-SE"/>
        </w:rPr>
        <w:t xml:space="preserve"> </w:t>
      </w:r>
      <w:r w:rsidRPr="00BE1509" w:rsidR="00B004B1">
        <w:rPr>
          <w:rFonts w:eastAsia="Times New Roman" w:asciiTheme="majorHAnsi" w:hAnsiTheme="majorHAnsi" w:cstheme="majorHAnsi"/>
          <w:szCs w:val="22"/>
          <w:lang w:eastAsia="sv-SE"/>
        </w:rPr>
        <w:t>2025.</w:t>
      </w:r>
      <w:r w:rsidR="00B85E1D">
        <w:rPr>
          <w:rFonts w:eastAsia="Times New Roman" w:asciiTheme="majorHAnsi" w:hAnsiTheme="majorHAnsi" w:cstheme="majorHAnsi"/>
          <w:szCs w:val="22"/>
          <w:lang w:eastAsia="sv-SE"/>
        </w:rPr>
        <w:t xml:space="preserve"> Aktierna i den</w:t>
      </w:r>
      <w:r w:rsidRPr="00B85E1D" w:rsidR="00B85E1D">
        <w:rPr>
          <w:rFonts w:eastAsia="Times New Roman" w:asciiTheme="majorHAnsi" w:hAnsiTheme="majorHAnsi" w:cstheme="majorHAnsi"/>
          <w:szCs w:val="22"/>
          <w:lang w:eastAsia="sv-SE"/>
        </w:rPr>
        <w:t xml:space="preserve"> del av den Riktade Emissionen som är föremål för godkännande från ISP</w:t>
      </w:r>
      <w:r w:rsidR="00477E94">
        <w:rPr>
          <w:rFonts w:eastAsia="Times New Roman" w:asciiTheme="majorHAnsi" w:hAnsiTheme="majorHAnsi" w:cstheme="majorHAnsi"/>
          <w:szCs w:val="22"/>
          <w:lang w:eastAsia="sv-SE"/>
        </w:rPr>
        <w:t xml:space="preserve"> om totalt </w:t>
      </w:r>
      <w:r w:rsidRPr="00477E94" w:rsidR="00477E94">
        <w:rPr>
          <w:rFonts w:eastAsia="Times New Roman" w:asciiTheme="majorHAnsi" w:hAnsiTheme="majorHAnsi" w:cstheme="majorHAnsi"/>
          <w:szCs w:val="22"/>
          <w:lang w:eastAsia="sv-SE"/>
        </w:rPr>
        <w:t>25 990 000</w:t>
      </w:r>
      <w:r w:rsidRPr="00B85E1D" w:rsidR="00B85E1D">
        <w:rPr>
          <w:rFonts w:eastAsia="Times New Roman" w:asciiTheme="majorHAnsi" w:hAnsiTheme="majorHAnsi" w:cstheme="majorHAnsi"/>
          <w:szCs w:val="22"/>
          <w:lang w:eastAsia="sv-SE"/>
        </w:rPr>
        <w:t xml:space="preserve"> kommer att tas upp till handel efter att ISP godkänt investeringen. Detta beräknas ske i augusti 2025.</w:t>
      </w:r>
    </w:p>
    <w:p w:rsidRPr="00BE1509" w:rsidR="002D0955" w:rsidP="00CD5A05" w:rsidRDefault="002D0955" w14:paraId="56C6FA4B" w14:textId="063490A6">
      <w:pPr>
        <w:pStyle w:val="Heading3"/>
        <w:rPr>
          <w:rFonts w:asciiTheme="majorHAnsi" w:hAnsiTheme="majorHAnsi" w:cstheme="majorHAnsi"/>
          <w:color w:val="auto"/>
        </w:rPr>
      </w:pPr>
      <w:r>
        <w:rPr>
          <w:rFonts w:asciiTheme="majorHAnsi" w:hAnsiTheme="majorHAnsi" w:cstheme="majorHAnsi"/>
          <w:b/>
          <w:bCs/>
          <w:color w:val="auto"/>
          <w:lang w:eastAsia="sv-SE"/>
        </w:rPr>
        <w:t>Tidsplan</w:t>
      </w:r>
    </w:p>
    <w:tbl>
      <w:tblPr>
        <w:tblStyle w:val="TableGrid"/>
        <w:tblW w:w="9800" w:type="dxa"/>
        <w:tblLook w:val="04A0" w:firstRow="1" w:lastRow="0" w:firstColumn="1" w:lastColumn="0" w:noHBand="0" w:noVBand="1"/>
      </w:tblPr>
      <w:tblGrid>
        <w:gridCol w:w="6587"/>
        <w:gridCol w:w="3213"/>
      </w:tblGrid>
      <w:tr w:rsidRPr="00260226" w:rsidR="002D0955" w:rsidTr="0075136E" w14:paraId="36F17125" w14:textId="77777777">
        <w:trPr>
          <w:trHeight w:val="238"/>
        </w:trPr>
        <w:tc>
          <w:tcPr>
            <w:tcW w:w="6587" w:type="dxa"/>
            <w:vAlign w:val="center"/>
          </w:tcPr>
          <w:p w:rsidRPr="003D74F6" w:rsidR="002D0955" w:rsidP="0075136E" w:rsidRDefault="002D0955" w14:paraId="2A7D0064" w14:textId="77777777">
            <w:pPr>
              <w:pStyle w:val="BodyText"/>
            </w:pPr>
            <w:r w:rsidRPr="003D74F6">
              <w:t>Betalda tecknade aktier (”</w:t>
            </w:r>
            <w:r w:rsidRPr="003D74F6">
              <w:rPr>
                <w:b/>
                <w:bCs/>
              </w:rPr>
              <w:t>BTAer</w:t>
            </w:r>
            <w:r w:rsidRPr="003D74F6">
              <w:t>”) emitteras av Bolaget</w:t>
            </w:r>
          </w:p>
        </w:tc>
        <w:tc>
          <w:tcPr>
            <w:tcW w:w="3213" w:type="dxa"/>
            <w:vAlign w:val="center"/>
          </w:tcPr>
          <w:p w:rsidRPr="003D74F6" w:rsidR="002D0955" w:rsidP="0075136E" w:rsidRDefault="006E50BA" w14:paraId="1884BA72" w14:textId="0C435EF0">
            <w:pPr>
              <w:pStyle w:val="BodyText"/>
            </w:pPr>
            <w:r>
              <w:t>o</w:t>
            </w:r>
            <w:r w:rsidRPr="003D74F6" w:rsidR="002D0955">
              <w:t xml:space="preserve">mkring den 10 </w:t>
            </w:r>
            <w:r w:rsidR="001B7B3B">
              <w:t>juni</w:t>
            </w:r>
            <w:r w:rsidRPr="003D74F6" w:rsidR="002D0955">
              <w:t xml:space="preserve"> 2025</w:t>
            </w:r>
          </w:p>
        </w:tc>
      </w:tr>
      <w:tr w:rsidRPr="00260226" w:rsidR="002D0955" w:rsidTr="0075136E" w14:paraId="655B2E46" w14:textId="77777777">
        <w:trPr>
          <w:trHeight w:val="228"/>
        </w:trPr>
        <w:tc>
          <w:tcPr>
            <w:tcW w:w="6587" w:type="dxa"/>
            <w:vAlign w:val="center"/>
          </w:tcPr>
          <w:p w:rsidRPr="003D74F6" w:rsidR="002D0955" w:rsidP="0075136E" w:rsidRDefault="002D0955" w14:paraId="678E6817" w14:textId="77777777">
            <w:pPr>
              <w:pStyle w:val="BodyText"/>
            </w:pPr>
            <w:r w:rsidRPr="003D74F6">
              <w:t>Extra bolagsstämma för att godkänna den Riktade Emissionen</w:t>
            </w:r>
          </w:p>
        </w:tc>
        <w:tc>
          <w:tcPr>
            <w:tcW w:w="3213" w:type="dxa"/>
            <w:vAlign w:val="center"/>
          </w:tcPr>
          <w:p w:rsidRPr="003D74F6" w:rsidR="002D0955" w:rsidP="0075136E" w:rsidRDefault="002D0955" w14:paraId="5D3C176A" w14:textId="77777777">
            <w:pPr>
              <w:pStyle w:val="BodyText"/>
            </w:pPr>
            <w:r w:rsidRPr="003D74F6">
              <w:t>3 juli 2025</w:t>
            </w:r>
          </w:p>
        </w:tc>
      </w:tr>
      <w:tr w:rsidRPr="00260226" w:rsidR="002D0955" w:rsidTr="0075136E" w14:paraId="56C51675" w14:textId="77777777">
        <w:trPr>
          <w:trHeight w:val="244"/>
        </w:trPr>
        <w:tc>
          <w:tcPr>
            <w:tcW w:w="6587" w:type="dxa"/>
            <w:vAlign w:val="center"/>
          </w:tcPr>
          <w:p w:rsidRPr="003D74F6" w:rsidR="002D0955" w:rsidP="0075136E" w:rsidRDefault="002D0955" w14:paraId="760B1B6D" w14:textId="428F8136">
            <w:pPr>
              <w:pStyle w:val="BodyText"/>
            </w:pPr>
            <w:r w:rsidRPr="003D74F6">
              <w:t>Settlement för BTAer</w:t>
            </w:r>
            <w:r w:rsidR="00831413">
              <w:rPr>
                <w:rStyle w:val="FootnoteReference"/>
              </w:rPr>
              <w:footnoteReference w:id="2"/>
            </w:r>
          </w:p>
        </w:tc>
        <w:tc>
          <w:tcPr>
            <w:tcW w:w="3213" w:type="dxa"/>
            <w:vAlign w:val="center"/>
          </w:tcPr>
          <w:p w:rsidRPr="003D74F6" w:rsidR="002D0955" w:rsidP="0075136E" w:rsidRDefault="002D0955" w14:paraId="2328294C" w14:textId="77777777">
            <w:pPr>
              <w:pStyle w:val="BodyText"/>
            </w:pPr>
            <w:r w:rsidRPr="003D74F6">
              <w:t>7 juli 2025</w:t>
            </w:r>
          </w:p>
        </w:tc>
      </w:tr>
      <w:tr w:rsidRPr="00260226" w:rsidR="002D0955" w:rsidTr="0075136E" w14:paraId="44079F67" w14:textId="77777777">
        <w:trPr>
          <w:trHeight w:val="223"/>
        </w:trPr>
        <w:tc>
          <w:tcPr>
            <w:tcW w:w="6587" w:type="dxa"/>
          </w:tcPr>
          <w:p w:rsidRPr="003D74F6" w:rsidR="002D0955" w:rsidP="0075136E" w:rsidRDefault="002D0955" w14:paraId="61FB7C24" w14:textId="77777777">
            <w:pPr>
              <w:pStyle w:val="BodyText"/>
              <w:spacing w:after="0"/>
              <w:rPr>
                <w:i/>
                <w:iCs/>
              </w:rPr>
            </w:pPr>
            <w:r w:rsidRPr="003D74F6">
              <w:t>Registrering av aktier hos Bolagsverket</w:t>
            </w:r>
          </w:p>
        </w:tc>
        <w:tc>
          <w:tcPr>
            <w:tcW w:w="3213" w:type="dxa"/>
            <w:vAlign w:val="center"/>
          </w:tcPr>
          <w:p w:rsidRPr="003D74F6" w:rsidR="002D0955" w:rsidP="0075136E" w:rsidRDefault="002D0955" w14:paraId="07D651AA" w14:textId="6F62737C">
            <w:pPr>
              <w:pStyle w:val="BodyText"/>
            </w:pPr>
            <w:r>
              <w:t xml:space="preserve">omkring den </w:t>
            </w:r>
            <w:r w:rsidR="003A41B9">
              <w:t>10</w:t>
            </w:r>
            <w:r w:rsidRPr="003D74F6">
              <w:t xml:space="preserve"> juli 2025</w:t>
            </w:r>
          </w:p>
        </w:tc>
      </w:tr>
      <w:tr w:rsidRPr="00260226" w:rsidR="002D0955" w:rsidTr="0075136E" w14:paraId="6DD7BCE9" w14:textId="77777777">
        <w:trPr>
          <w:trHeight w:val="250"/>
        </w:trPr>
        <w:tc>
          <w:tcPr>
            <w:tcW w:w="6587" w:type="dxa"/>
          </w:tcPr>
          <w:p w:rsidRPr="003D74F6" w:rsidR="002D0955" w:rsidP="0075136E" w:rsidRDefault="002D0955" w14:paraId="737B188B" w14:textId="77777777">
            <w:pPr>
              <w:pStyle w:val="BodyText"/>
              <w:spacing w:after="0"/>
              <w:rPr>
                <w:i/>
                <w:iCs/>
              </w:rPr>
            </w:pPr>
            <w:r w:rsidRPr="003D74F6">
              <w:t>Avstämningsdag för konvertering av BTA till aktier</w:t>
            </w:r>
          </w:p>
        </w:tc>
        <w:tc>
          <w:tcPr>
            <w:tcW w:w="3213" w:type="dxa"/>
            <w:vAlign w:val="center"/>
          </w:tcPr>
          <w:p w:rsidRPr="003D74F6" w:rsidR="002D0955" w:rsidP="0075136E" w:rsidRDefault="002D0955" w14:paraId="54697C70" w14:textId="006521E3">
            <w:pPr>
              <w:pStyle w:val="BodyText"/>
            </w:pPr>
            <w:r w:rsidRPr="003D74F6">
              <w:t>9 juli</w:t>
            </w:r>
            <w:r w:rsidR="00225F85">
              <w:t xml:space="preserve"> 2025</w:t>
            </w:r>
          </w:p>
        </w:tc>
      </w:tr>
      <w:tr w:rsidRPr="00260226" w:rsidR="002D0955" w:rsidTr="0075136E" w14:paraId="224402E9" w14:textId="77777777">
        <w:trPr>
          <w:trHeight w:val="375"/>
        </w:trPr>
        <w:tc>
          <w:tcPr>
            <w:tcW w:w="6587" w:type="dxa"/>
          </w:tcPr>
          <w:p w:rsidRPr="003D74F6" w:rsidR="002D0955" w:rsidP="0075136E" w:rsidRDefault="002D0955" w14:paraId="087729E3" w14:textId="77777777">
            <w:pPr>
              <w:pStyle w:val="BodyText"/>
              <w:spacing w:after="0"/>
              <w:rPr>
                <w:i/>
                <w:iCs/>
              </w:rPr>
            </w:pPr>
            <w:r w:rsidRPr="003D74F6">
              <w:t>Konverteringen av BTAer till aktier slutförs</w:t>
            </w:r>
          </w:p>
        </w:tc>
        <w:tc>
          <w:tcPr>
            <w:tcW w:w="3213" w:type="dxa"/>
            <w:vAlign w:val="center"/>
          </w:tcPr>
          <w:p w:rsidRPr="003D74F6" w:rsidR="002D0955" w:rsidP="0075136E" w:rsidRDefault="003A41B9" w14:paraId="5E8EAB07" w14:textId="2EF56026">
            <w:pPr>
              <w:pStyle w:val="BodyText"/>
            </w:pPr>
            <w:r>
              <w:t>11 juli 2025</w:t>
            </w:r>
          </w:p>
        </w:tc>
      </w:tr>
      <w:tr w:rsidRPr="00260226" w:rsidR="002D0955" w:rsidTr="0075136E" w14:paraId="40A58FD3" w14:textId="77777777">
        <w:trPr>
          <w:trHeight w:val="375"/>
        </w:trPr>
        <w:tc>
          <w:tcPr>
            <w:tcW w:w="6587" w:type="dxa"/>
            <w:vAlign w:val="center"/>
          </w:tcPr>
          <w:p w:rsidRPr="003D74F6" w:rsidR="002D0955" w:rsidP="0075136E" w:rsidRDefault="002D0955" w14:paraId="2630768B" w14:textId="77777777">
            <w:pPr>
              <w:pStyle w:val="BodyText"/>
            </w:pPr>
            <w:r w:rsidRPr="003D74F6">
              <w:t>Aktierna som emitterats i den Rik</w:t>
            </w:r>
            <w:r>
              <w:t>t</w:t>
            </w:r>
            <w:r w:rsidRPr="003D74F6">
              <w:t>ade Emissionen</w:t>
            </w:r>
            <w:r>
              <w:rPr>
                <w:rStyle w:val="FootnoteReference"/>
              </w:rPr>
              <w:footnoteReference w:id="3"/>
            </w:r>
            <w:r w:rsidRPr="003D74F6">
              <w:t xml:space="preserve"> tas upp till handel på Nasdaq Stockholm</w:t>
            </w:r>
          </w:p>
        </w:tc>
        <w:tc>
          <w:tcPr>
            <w:tcW w:w="3213" w:type="dxa"/>
            <w:vAlign w:val="center"/>
          </w:tcPr>
          <w:p w:rsidRPr="003D74F6" w:rsidR="002D0955" w:rsidP="0075136E" w:rsidRDefault="003A41B9" w14:paraId="2C407A6E" w14:textId="16764E46">
            <w:pPr>
              <w:pStyle w:val="BodyText"/>
            </w:pPr>
            <w:r>
              <w:t>11 juli 2025</w:t>
            </w:r>
          </w:p>
        </w:tc>
      </w:tr>
    </w:tbl>
    <w:p w:rsidR="003A41B9" w:rsidP="002D0955" w:rsidRDefault="003A41B9" w14:paraId="2D92ECE0" w14:textId="5184A4A4">
      <w:pPr>
        <w:jc w:val="both"/>
        <w:rPr>
          <w:rFonts w:eastAsia="Times New Roman" w:asciiTheme="majorHAnsi" w:hAnsiTheme="majorHAnsi" w:cstheme="majorHAnsi"/>
          <w:szCs w:val="22"/>
          <w:lang w:eastAsia="sv-SE"/>
        </w:rPr>
      </w:pPr>
    </w:p>
    <w:p w:rsidR="003A41B9" w:rsidRDefault="003A41B9" w14:paraId="68AD1280" w14:textId="77777777">
      <w:pPr>
        <w:spacing w:after="200" w:line="2" w:lineRule="auto"/>
        <w:rPr>
          <w:rFonts w:eastAsia="Times New Roman" w:asciiTheme="majorHAnsi" w:hAnsiTheme="majorHAnsi" w:cstheme="majorHAnsi"/>
          <w:szCs w:val="22"/>
          <w:lang w:eastAsia="sv-SE"/>
        </w:rPr>
      </w:pPr>
      <w:r>
        <w:rPr>
          <w:rFonts w:eastAsia="Times New Roman" w:asciiTheme="majorHAnsi" w:hAnsiTheme="majorHAnsi" w:cstheme="majorHAnsi"/>
          <w:szCs w:val="22"/>
          <w:lang w:eastAsia="sv-SE"/>
        </w:rPr>
        <w:br w:type="page"/>
      </w:r>
    </w:p>
    <w:p w:rsidRPr="00BE1509" w:rsidR="00E7692C" w:rsidP="003571CB" w:rsidRDefault="00E7692C" w14:paraId="06DB3DDA" w14:textId="77777777">
      <w:pPr>
        <w:pStyle w:val="Heading2"/>
        <w:keepNext/>
        <w:jc w:val="both"/>
        <w:rPr>
          <w:rFonts w:asciiTheme="majorHAnsi" w:hAnsiTheme="majorHAnsi" w:cstheme="majorHAnsi"/>
          <w:color w:val="auto"/>
        </w:rPr>
      </w:pPr>
      <w:r w:rsidRPr="00CD5A05">
        <w:rPr>
          <w:rFonts w:asciiTheme="majorHAnsi" w:hAnsiTheme="majorHAnsi" w:cstheme="majorHAnsi"/>
          <w:color w:val="auto"/>
          <w:sz w:val="26"/>
          <w:szCs w:val="26"/>
        </w:rPr>
        <w:t>Riskfaktorer</w:t>
      </w:r>
    </w:p>
    <w:p w:rsidRPr="006B7D11" w:rsidR="00E7692C" w:rsidP="003571CB" w:rsidRDefault="00E7692C" w14:paraId="592992FE" w14:textId="5882C2B0">
      <w:pPr>
        <w:pStyle w:val="BodyText"/>
        <w:keepNext/>
        <w:rPr>
          <w:i/>
          <w:iCs/>
        </w:rPr>
      </w:pPr>
      <w:r w:rsidRPr="006B7D11">
        <w:rPr>
          <w:i/>
          <w:iCs/>
        </w:rPr>
        <w:t xml:space="preserve">En investering i </w:t>
      </w:r>
      <w:r w:rsidRPr="006B7D11" w:rsidR="00D91F04">
        <w:rPr>
          <w:i/>
          <w:iCs/>
        </w:rPr>
        <w:t>Xbranes</w:t>
      </w:r>
      <w:r w:rsidRPr="006B7D11">
        <w:rPr>
          <w:i/>
          <w:iCs/>
        </w:rPr>
        <w:t xml:space="preserve"> värdepapper innefattar olika risker. Riskfaktorerna som anges nedan är begränsade till sådana risker som </w:t>
      </w:r>
      <w:r w:rsidRPr="006B7D11" w:rsidR="00D768CD">
        <w:rPr>
          <w:i/>
          <w:iCs/>
        </w:rPr>
        <w:t>Xbrane</w:t>
      </w:r>
      <w:r w:rsidRPr="006B7D11">
        <w:rPr>
          <w:i/>
          <w:iCs/>
        </w:rPr>
        <w:t xml:space="preserve"> bedömer är väsentliga och specifika för </w:t>
      </w:r>
      <w:r w:rsidRPr="006B7D11" w:rsidR="00C43A16">
        <w:rPr>
          <w:i/>
          <w:iCs/>
        </w:rPr>
        <w:t xml:space="preserve">Xbrane </w:t>
      </w:r>
      <w:r w:rsidRPr="006B7D11">
        <w:rPr>
          <w:i/>
          <w:iCs/>
        </w:rPr>
        <w:t>och dess värdepapper. Riskfaktorerna som presenteras nedan är baserade på Bolagets bedömning och tillgänglig information per dagen för offentliggörandet av detta dokument.</w:t>
      </w:r>
    </w:p>
    <w:p w:rsidRPr="006B7D11" w:rsidR="00FF7FDB" w:rsidP="00CD5A05" w:rsidRDefault="00FF7FDB" w14:paraId="124BF89D" w14:textId="77777777">
      <w:pPr>
        <w:pStyle w:val="Heading3"/>
        <w:rPr>
          <w:i/>
          <w:iCs/>
        </w:rPr>
      </w:pPr>
      <w:r w:rsidRPr="00CD5A05">
        <w:rPr>
          <w:rFonts w:asciiTheme="majorHAnsi" w:hAnsiTheme="majorHAnsi" w:cstheme="majorHAnsi"/>
          <w:b/>
          <w:bCs/>
          <w:color w:val="auto"/>
          <w:lang w:eastAsia="sv-SE"/>
        </w:rPr>
        <w:t>Risker kopplade till marknadsgodkännande i USA</w:t>
      </w:r>
    </w:p>
    <w:p w:rsidR="00626DB4" w:rsidP="007351EB" w:rsidRDefault="00FF7FDB" w14:paraId="39BD73D6" w14:textId="1390BD4A">
      <w:pPr>
        <w:pStyle w:val="BodyText"/>
      </w:pPr>
      <w:r w:rsidRPr="00260226">
        <w:t xml:space="preserve">Eftersom biologiska läkemedel tillverkas i levande celler är det inte möjligt att påvisa en exakt identisk produkt jämfört med originalläkemedlet. Det har därför i de flesta utvecklade länder introducerats ett speciellt regulatoriskt ramverk för marknadsgodkännande av uppföljningsläkemedel på biologiska originalläkemedel. Produkter som genomgår detta regulatoriska ramverk kallas för biosimilarer. För att en biosimilar ska erhålla marknadsgodkännande måste det påvisas att biosimilaren inte skiljer sig åt i fråga om säkerhet och effekt vid behandling av patienter jämfört med originalläkemedlet. </w:t>
      </w:r>
      <w:r w:rsidRPr="00BF381A" w:rsidR="00BF381A">
        <w:t>Marknadsgodkännande för Ximluci® erhölls av European Medicine Agency (”</w:t>
      </w:r>
      <w:r w:rsidRPr="0044008B" w:rsidR="00BF381A">
        <w:rPr>
          <w:b/>
          <w:bCs/>
        </w:rPr>
        <w:t>EMA</w:t>
      </w:r>
      <w:r w:rsidRPr="00BF381A" w:rsidR="00BF381A">
        <w:t>”) (regulatorisk myndighet i Europa) i november 2022 och godkännandet är giltigt i alla 27 EU-medlemsstater, samt på Island, i Norge och Liechtenstein. Marknadsföringstillståndet för Ximluci® innehas av Xbranes partner STADA Arzneimittel AG (STADA).</w:t>
      </w:r>
      <w:r w:rsidR="00BF381A">
        <w:t xml:space="preserve"> </w:t>
      </w:r>
      <w:r w:rsidRPr="00260226">
        <w:t xml:space="preserve">Xbrane ansökte om marknadsgodkännande för Ximluci® i USA i april 2023 </w:t>
      </w:r>
      <w:r w:rsidR="0044008B">
        <w:t>och</w:t>
      </w:r>
      <w:r w:rsidRPr="00260226">
        <w:t xml:space="preserve"> fick </w:t>
      </w:r>
      <w:r w:rsidRPr="00260226" w:rsidR="0044008B">
        <w:t>i april 2024</w:t>
      </w:r>
      <w:r w:rsidR="0044008B">
        <w:t xml:space="preserve"> </w:t>
      </w:r>
      <w:r w:rsidRPr="00260226">
        <w:t>ett så kallat Complete Response Letter av FDA med feedback kring brister i ansökan som behöver åtgärdas innan ett godkännande kan meddelas. Dessa brister innefattade åtgärdandet av identifierade observationer på kontraktstillverkares tillverkningsanläggningar för produkten samt den så kallade referensstandard som föreslogs användas för frisläppande av Ximluci® för den amerikanska marknaden. Båda produktionsanläggningarna har nu åtgärdat identifierade observationer på ett, enligt Xbrane, adekvat sätt och kommunicerat detta med FDA. Xbrane har kvalificerat en ny referensstandard i enlighet med FDAs krav och i nära dialog med FDA. Trots detta kan inte ett marknadsgodkännande i USA tas för givet.</w:t>
      </w:r>
      <w:r w:rsidR="009F0D9B">
        <w:t xml:space="preserve"> </w:t>
      </w:r>
      <w:r w:rsidR="007351EB">
        <w:t xml:space="preserve">Under 2025 kommer FDA att utvärdera Xbranes ansökan och avgöra om tillbörliga åtgärder utförts. Med detta finns en risk att myndigheten kräver ytterligare data, vilket kan vara kostsamt och tidskrävande att generera och kan komma att försena tidpunkten för marknadsgodkännande. Beslutet om ett godkännande i USA är även avhängigt inspektion av processer och rutiner hos </w:t>
      </w:r>
      <w:r w:rsidR="0044008B">
        <w:t xml:space="preserve">Xbranes </w:t>
      </w:r>
      <w:r w:rsidR="007351EB">
        <w:t>kontraktstillverkare och deras anläggningar.</w:t>
      </w:r>
    </w:p>
    <w:p w:rsidR="00626DB4" w:rsidP="00CD5A05" w:rsidRDefault="00626DB4" w14:paraId="0C6035CA" w14:textId="0226D6F2">
      <w:pPr>
        <w:pStyle w:val="Heading3"/>
      </w:pPr>
      <w:r w:rsidRPr="00CD5A05">
        <w:rPr>
          <w:rFonts w:asciiTheme="majorHAnsi" w:hAnsiTheme="majorHAnsi" w:cstheme="majorHAnsi"/>
          <w:b/>
          <w:bCs/>
          <w:color w:val="auto"/>
          <w:lang w:eastAsia="sv-SE"/>
        </w:rPr>
        <w:t>Risker kring produktansvar inför kommande lansering i USA</w:t>
      </w:r>
    </w:p>
    <w:p w:rsidR="00E16E16" w:rsidP="00C56E3B" w:rsidRDefault="00626DB4" w14:paraId="1A09EB0D" w14:textId="743B7DEC">
      <w:pPr>
        <w:pStyle w:val="BodyText"/>
        <w:spacing w:after="0"/>
      </w:pPr>
      <w:r>
        <w:t xml:space="preserve">Försäljning av Ximluci® medför produktansvar och patientansvar. Inför lansering av produkten i USA behöver Xbranes kvalitetssystem uppfylla kraven i enlighet </w:t>
      </w:r>
      <w:r w:rsidRPr="00626DB4">
        <w:t xml:space="preserve">med God tillverkningssed (Good Manufactuirng Practice, GMP). </w:t>
      </w:r>
      <w:r>
        <w:t>Om Xbrane inte uppfyller detta i tid för lansering finns risk för förseningar i tidsplanen.</w:t>
      </w:r>
      <w:r w:rsidR="007351EB">
        <w:t xml:space="preserve"> </w:t>
      </w:r>
    </w:p>
    <w:p w:rsidR="00BF381A" w:rsidP="00C56E3B" w:rsidRDefault="00BF381A" w14:paraId="165307C5" w14:textId="77777777">
      <w:pPr>
        <w:pStyle w:val="BodyText"/>
        <w:spacing w:after="0"/>
      </w:pPr>
    </w:p>
    <w:p w:rsidR="00BF381A" w:rsidP="00CD5A05" w:rsidRDefault="00BF381A" w14:paraId="40ADF0DF" w14:textId="77777777">
      <w:pPr>
        <w:pStyle w:val="Heading3"/>
      </w:pPr>
      <w:r w:rsidRPr="00CD5A05">
        <w:rPr>
          <w:rFonts w:asciiTheme="majorHAnsi" w:hAnsiTheme="majorHAnsi" w:cstheme="majorHAnsi"/>
          <w:b/>
          <w:bCs/>
          <w:color w:val="auto"/>
          <w:lang w:eastAsia="sv-SE"/>
        </w:rPr>
        <w:t>Beroende av distributionspartners åtaganden och tredjepartsdistributörer för Ximluci®</w:t>
      </w:r>
    </w:p>
    <w:p w:rsidR="00BF381A" w:rsidP="00BF381A" w:rsidRDefault="00BF381A" w14:paraId="6BFE6BC8" w14:textId="77777777">
      <w:pPr>
        <w:pStyle w:val="BodyText"/>
      </w:pPr>
      <w:r>
        <w:t>Kommersialisering av Bolagets produkter genomförs tillsammans med samarbetspartners som har en upparbetad infrastruktur i respektive marknad för att kunna sälja och marknadsföra Bolagets produkter. Xbrane har ingått ett globalt samarbetsavtal med STADA avseende marknadsföring och distribution av Ximluci®.</w:t>
      </w:r>
    </w:p>
    <w:p w:rsidR="00BF381A" w:rsidP="00BF381A" w:rsidRDefault="00BF381A" w14:paraId="1A79D085" w14:textId="77777777">
      <w:pPr>
        <w:pStyle w:val="BodyText"/>
      </w:pPr>
      <w:r>
        <w:t>Bolaget är beroende av att STADA fullgör sina åtaganden gällande bland annat finansiering kopplat till samarbetsavtalet och att STADA är framgångsrikt i försäljningen och marknadsföringen av Ximluci® i de länder där STADA ensamt planerar att sälja och marknadsföra produkten. Därutöver är Xbrane beroende av att STADA är framgångsrika vad avser etablering av partnerskap med andra distributörer i övriga regioner inklusive exempelvis Nordamerika och Latinamerika. Bolaget har tillsammans med STADA ett avtal med Valorum Biologics gällande försäljning och marknadsföring av Ximluci® i USA. STADA och Xbrane söker nu gemensamt efter tredjepartsdistributör för bland annat Kanada och Latinamerika.</w:t>
      </w:r>
    </w:p>
    <w:p w:rsidR="00BF381A" w:rsidP="00BF381A" w:rsidRDefault="00BF381A" w14:paraId="495955A0" w14:textId="63DDE8CA">
      <w:pPr>
        <w:pStyle w:val="BodyText"/>
        <w:spacing w:after="0"/>
      </w:pPr>
      <w:r>
        <w:t>Om STADA inte lyckas knyta till sig kommersialiserings- partners/tredjepartsdistributörer på relevanta marknader skulle det kunna innebära att Ximluci® inte kan säljas på dessa marknader då Bolaget i dagsläget inte själva inte har någon etablerad kommersialiserings- och distributionsfunktion. På de marknader där Bolaget har distributionspartners finns det risker kopplade till att dessa inte fullgör sina åtaganden eller att ingångna avtal sägs upp av olika skäl. Konsekvensen av att Bolagets distributionspartners inte fullgör sina åtaganden eller att avtal sägs upp är att Bolaget inte kan generera intäkter från försäljning av Bolagets produkter på den marknaden eller förväntade milstolpesbetalningar inom ramen för avtalet, vilket påverkar Bolagets lönsamhet och tillväxtmöjligheter.</w:t>
      </w:r>
    </w:p>
    <w:p w:rsidR="00205F96" w:rsidP="00BF381A" w:rsidRDefault="00205F96" w14:paraId="015B3D5C" w14:textId="77777777">
      <w:pPr>
        <w:pStyle w:val="BodyText"/>
        <w:spacing w:after="0"/>
      </w:pPr>
    </w:p>
    <w:p w:rsidR="00205F96" w:rsidP="00CD5A05" w:rsidRDefault="00205F96" w14:paraId="3A95E202" w14:textId="77777777">
      <w:pPr>
        <w:pStyle w:val="Heading3"/>
      </w:pPr>
      <w:r w:rsidRPr="00CD5A05">
        <w:rPr>
          <w:rFonts w:asciiTheme="majorHAnsi" w:hAnsiTheme="majorHAnsi" w:cstheme="majorHAnsi"/>
          <w:b/>
          <w:bCs/>
          <w:color w:val="auto"/>
          <w:lang w:eastAsia="sv-SE"/>
        </w:rPr>
        <w:t>Uppsägning av samarbetsavtal</w:t>
      </w:r>
    </w:p>
    <w:p w:rsidR="00205F96" w:rsidP="00205F96" w:rsidRDefault="00205F96" w14:paraId="51B71C2B" w14:textId="4DB2C1BE">
      <w:pPr>
        <w:pStyle w:val="BodyText"/>
        <w:spacing w:after="0"/>
      </w:pPr>
      <w:r>
        <w:t xml:space="preserve">STADA ägs sedan 2017 till största del av två fonder, Bain Capital Investors, LLC och Cinven Capital Management, vilka typiskt sett har en investeringshorisont på mellan fem och sju år. Det finns en risk att ägandet i STADA kan komma att förändras exempelvis genom att STADA förvärvas av en annan läkemedelsaktör. Det skulle kunna leda till att STADA genom en ny ägarbild får en överlappande produktportfölj vilket kan </w:t>
      </w:r>
      <w:r w:rsidR="00C37C58">
        <w:t xml:space="preserve">resultera i </w:t>
      </w:r>
      <w:r>
        <w:t>att STADA beslutar att avsluta samarbetsavtalet med Xbrane. Att avsluta samarbetsavtalet kan enbart ske efter marknadsgodkännande erhållits och de fulla rättigheterna till Ximluci® skulle då återgå till Xbrane. STADA är ansvariga för försäljning och marknadsföring av Ximluci® och skulle samarbetsavtalet sägas upp skulle Xbrane nödgas hitta en annan kommersialiseringspartner vilket skulle kunna påverka försäljningen av Ximluci® negativt då det kan ta väsentlig tid att identifiera en ny partner för samarbete</w:t>
      </w:r>
      <w:r w:rsidR="008C65CF">
        <w:t xml:space="preserve">, </w:t>
      </w:r>
      <w:r>
        <w:t xml:space="preserve">ingå ett samarbetsavtal </w:t>
      </w:r>
      <w:r w:rsidR="008C65CF">
        <w:t>och</w:t>
      </w:r>
      <w:r w:rsidR="0059341A">
        <w:t xml:space="preserve"> därefter kan det vara ledtider på att</w:t>
      </w:r>
      <w:r>
        <w:t xml:space="preserve"> komma igång med försäljning och marknadsföring.</w:t>
      </w:r>
      <w:r w:rsidR="00DB608A">
        <w:t xml:space="preserve"> Fortsättningsvis</w:t>
      </w:r>
      <w:r w:rsidRPr="00DB608A" w:rsidR="00DB608A">
        <w:t xml:space="preserve"> kan </w:t>
      </w:r>
      <w:r w:rsidR="00DB608A">
        <w:t xml:space="preserve">en uppsägning av samarbetsavtal </w:t>
      </w:r>
      <w:r w:rsidRPr="00DB608A" w:rsidR="00DB608A">
        <w:t>medföra minskade intäkter från försäljning eller förväntade milstolpebetalningar, vilket kan komma att påverka Xbranes lönsamhet och tillväxtmöjligheter på kort sikt.</w:t>
      </w:r>
    </w:p>
    <w:p w:rsidR="00205F96" w:rsidP="00205F96" w:rsidRDefault="00205F96" w14:paraId="355F8A27" w14:textId="77777777">
      <w:pPr>
        <w:pStyle w:val="BodyText"/>
        <w:spacing w:after="0"/>
      </w:pPr>
    </w:p>
    <w:p w:rsidR="00205F96" w:rsidP="00CD5A05" w:rsidRDefault="00205F96" w14:paraId="20A5A20F" w14:textId="77777777">
      <w:pPr>
        <w:pStyle w:val="Heading3"/>
      </w:pPr>
      <w:r w:rsidRPr="00CD5A05">
        <w:rPr>
          <w:rFonts w:asciiTheme="majorHAnsi" w:hAnsiTheme="majorHAnsi" w:cstheme="majorHAnsi"/>
          <w:b/>
          <w:bCs/>
          <w:color w:val="auto"/>
          <w:lang w:eastAsia="sv-SE"/>
        </w:rPr>
        <w:t>Osäker efterfrågan av produkten</w:t>
      </w:r>
    </w:p>
    <w:p w:rsidR="00205F96" w:rsidP="00205F96" w:rsidRDefault="00205F96" w14:paraId="1B8E4068" w14:textId="0D46CB94">
      <w:pPr>
        <w:pStyle w:val="BodyText"/>
        <w:spacing w:after="0"/>
      </w:pPr>
      <w:r>
        <w:t>Ximluci® lanserades i Europa under april 2023. Även om marknadsgodkännande erhållits för Ximluci® eller i framtiden för en specifik produkt, det finns en partner för försäljning, marknadsföringsåtgärder avseende produkten vidtagits och att ett konkurrensmässigt pris är satt på produkten finns det ingen garanti för att produkten blir försäljningsmässigt framgångsrik. För Ximluci® har försäljningsvolymerna justerats för att bättre spegla marknadsupptaget. Försäljningen följer därefter den reviderade försäljningsprognosen. Aspekter som kan göra att försäljningen inte når uppsatta mål är att konkurrenssituationen förändras, att potentiella nya läkemedel med överlägsen effekt och/eller säkerhetsprofil introduceras på marknaden eller att det sker andra förändringar i behandlingsstrategin för de sjukdomar som läkemedlen används för att behandla. Det finns en risk att försäljningsintäkterna blir mindre än förväntat eller uteblir helt. Skulle den behöva justeras ytterligare innebär det en risk att nettovinsten för Xbrane minskar.</w:t>
      </w:r>
    </w:p>
    <w:p w:rsidRPr="00260226" w:rsidR="00BF381A" w:rsidP="00BF381A" w:rsidRDefault="00BF381A" w14:paraId="709608EA" w14:textId="77777777">
      <w:pPr>
        <w:pStyle w:val="BodyText"/>
        <w:spacing w:after="0"/>
      </w:pPr>
    </w:p>
    <w:p w:rsidRPr="00BE1509" w:rsidR="00E16E16" w:rsidP="00CD5A05" w:rsidRDefault="00E16E16" w14:paraId="772E3B50" w14:textId="77777777">
      <w:pPr>
        <w:pStyle w:val="Heading3"/>
        <w:rPr>
          <w:i/>
          <w:iCs/>
        </w:rPr>
      </w:pPr>
      <w:r w:rsidRPr="00CD5A05">
        <w:rPr>
          <w:rFonts w:asciiTheme="majorHAnsi" w:hAnsiTheme="majorHAnsi" w:cstheme="majorHAnsi"/>
          <w:b/>
          <w:bCs/>
          <w:color w:val="auto"/>
          <w:lang w:eastAsia="sv-SE"/>
        </w:rPr>
        <w:t>Bolagets förmåga att hantera tillväxt är av central betydelse för Bolagets framtida framgång</w:t>
      </w:r>
    </w:p>
    <w:p w:rsidR="00A05CD5" w:rsidP="00A05CD5" w:rsidRDefault="00E16E16" w14:paraId="2A56C0D6" w14:textId="3183C3A2">
      <w:pPr>
        <w:pStyle w:val="BodyText"/>
      </w:pPr>
      <w:r w:rsidRPr="00260226">
        <w:t xml:space="preserve">Xbrane är ett relativt litet bolag som per den </w:t>
      </w:r>
      <w:r w:rsidR="00C56325">
        <w:t>31 mars 2025</w:t>
      </w:r>
      <w:r w:rsidRPr="00260226">
        <w:t xml:space="preserve"> bestod av </w:t>
      </w:r>
      <w:r w:rsidR="00E52CCE">
        <w:t>64</w:t>
      </w:r>
      <w:r w:rsidRPr="00260226">
        <w:t xml:space="preserve"> anställda. </w:t>
      </w:r>
      <w:r w:rsidRPr="003422AB" w:rsidR="003422AB">
        <w:t xml:space="preserve">Xbrane </w:t>
      </w:r>
      <w:r w:rsidR="00E52CCE">
        <w:t>ingick i mars 2025</w:t>
      </w:r>
      <w:r w:rsidRPr="003422AB" w:rsidR="003422AB">
        <w:t xml:space="preserve"> ett avtal om att avyttra XB003 (biosimilar-kandidat till Cimzia) och delar av sin organisation, inklusive omkring 40 anställda samt laboratorieutrustning, till Alvotech hf och dess dotterbolag Alvotech Sweden AB, (tillsammans "</w:t>
      </w:r>
      <w:r w:rsidRPr="00C56325" w:rsidR="003422AB">
        <w:rPr>
          <w:b/>
          <w:bCs/>
        </w:rPr>
        <w:t>Alvotech</w:t>
      </w:r>
      <w:r w:rsidRPr="003422AB" w:rsidR="003422AB">
        <w:t>")</w:t>
      </w:r>
      <w:r w:rsidR="00E52CCE">
        <w:t xml:space="preserve">, den 4 juni 2025 slutfördes transaktionen. </w:t>
      </w:r>
      <w:bookmarkStart w:name="_Hlk202428324" w:id="0"/>
      <w:r w:rsidR="00136EFB">
        <w:t>Xbrane</w:t>
      </w:r>
      <w:r w:rsidR="00CC213C">
        <w:t xml:space="preserve"> har</w:t>
      </w:r>
      <w:r w:rsidR="00136EFB">
        <w:t xml:space="preserve"> därför</w:t>
      </w:r>
      <w:r w:rsidR="00CC213C">
        <w:t xml:space="preserve"> idag </w:t>
      </w:r>
      <w:r w:rsidR="00477E94">
        <w:t>25</w:t>
      </w:r>
      <w:r w:rsidR="00CC213C">
        <w:t xml:space="preserve"> anställda.</w:t>
      </w:r>
      <w:bookmarkEnd w:id="0"/>
      <w:r w:rsidRPr="003422AB" w:rsidR="003422AB">
        <w:t xml:space="preserve"> </w:t>
      </w:r>
      <w:r w:rsidRPr="00260226">
        <w:t xml:space="preserve">Bolaget befinner sig dock likväl i en fas där flera av Bolagets produkter genomgår utveckling för att kunna kommersialiseras, produceras och säljas på den globala läkemedelsmarknaden. </w:t>
      </w:r>
    </w:p>
    <w:p w:rsidR="00E16E16" w:rsidP="00A05CD5" w:rsidRDefault="00E16E16" w14:paraId="36225565" w14:textId="1529E86A">
      <w:pPr>
        <w:pStyle w:val="BodyText"/>
      </w:pPr>
      <w:r w:rsidRPr="00260226">
        <w:t xml:space="preserve">Vid godkännande av Bolagets produkter kommer det ställas höga krav på styrelsen, företagsledningen och Bolagets operativa och finansiella infrastruktur. Det kommer även ställas ytterligare krav på utformning och implementering av planerings- och ledningsprocesser i verksamheten. Det finns en risk att ovanstående processer inte utformas på ett fullständigt och adekvat sätt eller att styr-, planerings-, produktion-, försäljnings- och ledningsprocesser inte kan anpassas till marknadsutvecklingen eller hantera de risker som är förknippat med expansion på befintliga eller nya marknader eller jurisdiktioner. </w:t>
      </w:r>
      <w:r w:rsidR="00A05CD5">
        <w:t xml:space="preserve">Med </w:t>
      </w:r>
      <w:r w:rsidR="008611BC">
        <w:t>a</w:t>
      </w:r>
      <w:r w:rsidR="00A05CD5">
        <w:t>nledning av minskningen i personalstyrkan och den samtidigt höga intensiteten i aktiviteter finns en risk att resurssättningen inte klarar att leverera i enlighet med satta tidsplaner.</w:t>
      </w:r>
    </w:p>
    <w:p w:rsidR="009F3712" w:rsidP="00DB608A" w:rsidRDefault="009F3712" w14:paraId="226CB108" w14:textId="77777777">
      <w:pPr>
        <w:pStyle w:val="Heading3"/>
        <w:keepNext/>
      </w:pPr>
      <w:r w:rsidRPr="00CD5A05">
        <w:rPr>
          <w:rFonts w:asciiTheme="majorHAnsi" w:hAnsiTheme="majorHAnsi" w:cstheme="majorHAnsi"/>
          <w:b/>
          <w:bCs/>
          <w:color w:val="auto"/>
          <w:lang w:eastAsia="sv-SE"/>
        </w:rPr>
        <w:t>Risker kopplade till beroende av leverantörers åtaganden</w:t>
      </w:r>
    </w:p>
    <w:p w:rsidR="009F3712" w:rsidP="009F3712" w:rsidRDefault="009F3712" w14:paraId="785159D7" w14:textId="6F611B9D">
      <w:pPr>
        <w:pStyle w:val="BodyText"/>
      </w:pPr>
      <w:r>
        <w:t>Som mindre bolag utan egen tillverkningskapacitet är Xbrane beroende av både kontraktstillverkare och kontraktslaboratorier för tillverkning och kontroll av både utvecklingsprodukter och kommersiella produkten Ximluci®. Det finns därmed risker kopplat till att dessa leverantörer inte uppfyller sina åtaganden kring kvalitet, tidsplaner och kostnad vilket kan påverka Xbrane negativt.</w:t>
      </w:r>
    </w:p>
    <w:p w:rsidR="00FD0852" w:rsidP="00CD5A05" w:rsidRDefault="00FD0852" w14:paraId="1B329E5F" w14:textId="77777777">
      <w:pPr>
        <w:pStyle w:val="Heading3"/>
      </w:pPr>
      <w:r w:rsidRPr="00CD5A05">
        <w:rPr>
          <w:rFonts w:asciiTheme="majorHAnsi" w:hAnsiTheme="majorHAnsi" w:cstheme="majorHAnsi"/>
          <w:b/>
          <w:bCs/>
          <w:color w:val="auto"/>
          <w:lang w:eastAsia="sv-SE"/>
        </w:rPr>
        <w:t>Finansiering av kliniska studier och försening i pre-klinisk utveckling och produktionsprocessen</w:t>
      </w:r>
    </w:p>
    <w:p w:rsidR="00FD0852" w:rsidP="00FD0852" w:rsidRDefault="00FD0852" w14:paraId="7FF25815" w14:textId="191A3254">
      <w:pPr>
        <w:pStyle w:val="BodyText"/>
      </w:pPr>
      <w:r>
        <w:t xml:space="preserve">Xbrane har tre produktkandidater, </w:t>
      </w:r>
      <w:r w:rsidRPr="002F7C86" w:rsidR="002F7C86">
        <w:t>Ximluci®</w:t>
      </w:r>
      <w:r>
        <w:t xml:space="preserve"> (</w:t>
      </w:r>
      <w:r w:rsidRPr="002F7C86" w:rsidR="002F7C86">
        <w:t xml:space="preserve">Lucamzi™ </w:t>
      </w:r>
      <w:r>
        <w:t>biosimilar), Xdivane™ (Opdivo biosimilar) samt Xdarzane™ (Darzalex biosimilar). Rättigheterna till Xdivane</w:t>
      </w:r>
      <w:r w:rsidR="002F7C86">
        <w:t>™</w:t>
      </w:r>
      <w:r>
        <w:t xml:space="preserve"> utlicensierade Bolaget nyligen till Intas Pharmaceuticals Limited ("</w:t>
      </w:r>
      <w:r w:rsidRPr="001F2A90">
        <w:rPr>
          <w:b/>
          <w:bCs/>
        </w:rPr>
        <w:t>INTAS</w:t>
      </w:r>
      <w:r>
        <w:t xml:space="preserve">"), vilket också innebär att INTAS kommer att finansiera kliniska studier. </w:t>
      </w:r>
    </w:p>
    <w:p w:rsidR="00FD0852" w:rsidP="00FD0852" w:rsidRDefault="00FD0852" w14:paraId="5D0C6E9B" w14:textId="3527CAC2">
      <w:pPr>
        <w:pStyle w:val="BodyText"/>
      </w:pPr>
      <w:r w:rsidRPr="00D30ADF">
        <w:t>Forskning och utveckling,</w:t>
      </w:r>
      <w:r>
        <w:t xml:space="preserve"> både befintlig och framtida, utgör basen för Xbranes verksamhet. Bolaget har för avsikt att utveckla nya produkter inom sitt verksamhetsområde samt vidareutveckla de befintliga produkterna. Xbranes framtida framgång är beroende av Bolagets förmåga att utveckla befintliga och ta fram nya och produkter som möter de krav som marknaden ställer. Om de kliniska studierna avseende Bolagets produkter försenas eller uteblir, eller om befintliga eller framtida utlicenseringsprocesser misslyckas eller försenas, finns en risk att produkten lanseras efter utgång av patentet på originalläkemedlet, vilket kan negativt påverka Bolagets intäktsflöden. Denna process kan medföra oförutsedda tekniska svårigheter vilket kan leda till förseningar och/eller kostnadsökningar för programmen och därigenom få en negativ inverkan på Bolagets resultat.</w:t>
      </w:r>
    </w:p>
    <w:p w:rsidR="00FD0852" w:rsidP="00CD5A05" w:rsidRDefault="00FD0852" w14:paraId="40FC16F6" w14:textId="77777777">
      <w:pPr>
        <w:pStyle w:val="Heading3"/>
      </w:pPr>
      <w:r w:rsidRPr="00CD5A05">
        <w:rPr>
          <w:rFonts w:asciiTheme="majorHAnsi" w:hAnsiTheme="majorHAnsi" w:cstheme="majorHAnsi"/>
          <w:b/>
          <w:bCs/>
          <w:color w:val="auto"/>
          <w:lang w:eastAsia="sv-SE"/>
        </w:rPr>
        <w:t>Avtal med kommersialiseringspartners</w:t>
      </w:r>
    </w:p>
    <w:p w:rsidR="00FD0852" w:rsidP="00FD0852" w:rsidRDefault="00FD0852" w14:paraId="2209AF5D" w14:textId="77777777">
      <w:pPr>
        <w:pStyle w:val="BodyText"/>
      </w:pPr>
      <w:r>
        <w:t>Xbranes intjäning är bland annat beroende av att Xbrane lyckas ingå ytterligare avtal för distribution av Bolagets pre-kliniska produkter. Möjligheten att ingå sådana avtal är bland annat beroende av att det finns kommersialiseringspartners som är intresserade av att sälja och marknadsföra den aktuella produkten. Intresset för en kommersialiseringspartner att vilja investera i utvecklingen är beroende av kvaliteten på Xbranes produkter, exempelvis i termer av produktivitet i processen vilket är kritiskt för att uppnå en låg produktionskostnad, samt Bolagets trovärdighet som potentiell partner vilket är kritiskt för en kommersialiseringspartner för att avgöra Bolagets förmåga att färdigställa utvecklingen i enlighet med tidsplan. Det finns en risk att Xbrane inte lyckas ingå distributionsavtal, att distributionsavtalen endast kan ingås på för Bolaget ofördelaktiga villkor eller att Bolaget misslyckas med att bibehålla och leverera i enlighet med befintliga distributionsavtal.</w:t>
      </w:r>
    </w:p>
    <w:p w:rsidRPr="00260226" w:rsidR="00FD0852" w:rsidP="00FD0852" w:rsidRDefault="00FD0852" w14:paraId="5F6CE07D" w14:textId="68994E03">
      <w:pPr>
        <w:pStyle w:val="BodyText"/>
      </w:pPr>
      <w:r>
        <w:t>För det fall Xbrane inte lyckas ingå distributionsavtal finns det en risk att det får en negativ inverkan på Xbranes möjlighet att kommersialisera sina produkter och därmed kan det negativt påverka framtida potentiella intäkter.</w:t>
      </w:r>
    </w:p>
    <w:p w:rsidRPr="00BE1509" w:rsidR="0042161F" w:rsidP="00CD5A05" w:rsidRDefault="0042161F" w14:paraId="1EF6B027" w14:textId="77777777">
      <w:pPr>
        <w:pStyle w:val="Heading3"/>
        <w:rPr>
          <w:i/>
          <w:iCs/>
        </w:rPr>
      </w:pPr>
      <w:r w:rsidRPr="00CD5A05">
        <w:rPr>
          <w:rFonts w:asciiTheme="majorHAnsi" w:hAnsiTheme="majorHAnsi" w:cstheme="majorHAnsi"/>
          <w:b/>
          <w:bCs/>
          <w:color w:val="auto"/>
          <w:lang w:eastAsia="sv-SE"/>
        </w:rPr>
        <w:t>Risker relaterade till finansiering</w:t>
      </w:r>
    </w:p>
    <w:p w:rsidR="004B13A5" w:rsidP="00BE1509" w:rsidRDefault="00A2423D" w14:paraId="1987CE81" w14:textId="1D79025D">
      <w:pPr>
        <w:pStyle w:val="BodyText"/>
      </w:pPr>
      <w:r w:rsidRPr="00A2423D">
        <w:t xml:space="preserve">Under flera år har Xbrane haft ett negativt kassaflöde från verksamheten och investeringar i produktutveckling av Ximluci® och pre-klinisk portfölj. </w:t>
      </w:r>
      <w:bookmarkStart w:name="_Hlk202428350" w:id="1"/>
      <w:r w:rsidRPr="00260226" w:rsidR="0042161F">
        <w:t xml:space="preserve">Styrelsen gör bedömningen att befintligt rörelsekapital inte är tillräckligt för att bedriva verksamheten i önskad omfattning och med planerade investeringar under den kommande tolvmånadersperioden. </w:t>
      </w:r>
      <w:bookmarkEnd w:id="1"/>
    </w:p>
    <w:p w:rsidR="004B13A5" w:rsidP="00BE1509" w:rsidRDefault="004B13A5" w14:paraId="40DC1BBB" w14:textId="57209F30">
      <w:pPr>
        <w:pStyle w:val="BodyText"/>
      </w:pPr>
      <w:r w:rsidRPr="004B13A5">
        <w:t>Förutsatt att affärsplanen lyckas genomföras, inklusive att FDA-godkännande erhålls i tid, förväntas nettolikviden från den Riktade Emissionen, täcka Bolagets rörelsekapitalbehov fram tills att Bolaget har ett positivt kassaflöde</w:t>
      </w:r>
      <w:r>
        <w:t>.</w:t>
      </w:r>
    </w:p>
    <w:p w:rsidR="00A2423D" w:rsidP="00BE1509" w:rsidRDefault="004B13A5" w14:paraId="1973FD50" w14:textId="64E211ED">
      <w:pPr>
        <w:pStyle w:val="BodyText"/>
      </w:pPr>
      <w:r>
        <w:t>Det finns en risk att</w:t>
      </w:r>
      <w:r w:rsidRPr="00260226" w:rsidR="0042161F">
        <w:rPr>
          <w:rFonts w:hint="eastAsia"/>
        </w:rPr>
        <w:t xml:space="preserve"> </w:t>
      </w:r>
      <w:r>
        <w:t xml:space="preserve">godkännande från FDA försenas eller att arbetet i förhållande till ansökan blir mer omfattade än vad som estimerats för. </w:t>
      </w:r>
      <w:bookmarkStart w:name="_Hlk202428381" w:id="2"/>
      <w:r>
        <w:t xml:space="preserve">Vidare är </w:t>
      </w:r>
      <w:r w:rsidRPr="00260226" w:rsidR="0042161F">
        <w:t xml:space="preserve">Xbranes förmåga att framgångsrikt nå kassaflödespositiv position beror på ett flertal faktorer, bland annat Ximluci®:s försäljningsupptag på marknaden samt att kontraktsenliga tidpunkter för milstolpar nås.] Om riskerna skulle materialiseras i förhållande till dessa omständigheter och Bolaget är i behov av ytterligare kapital kan Xbrane komma att vara tvungen att uppta finansiering på mindre förmånliga villkor. Därutöver kan marknadsstörningar eller osäkerhet begränsa tillgängligheten till det kapital som krävs för att driva Xbranes verksamhet både på lång och kort sikt. </w:t>
      </w:r>
    </w:p>
    <w:bookmarkEnd w:id="2"/>
    <w:p w:rsidRPr="00A2423D" w:rsidR="00A2423D" w:rsidP="00156FE7" w:rsidRDefault="00A2423D" w14:paraId="3BF80FA8" w14:textId="77777777">
      <w:pPr>
        <w:pStyle w:val="Heading3"/>
        <w:rPr>
          <w:i/>
          <w:iCs/>
        </w:rPr>
      </w:pPr>
      <w:r w:rsidRPr="00156FE7">
        <w:rPr>
          <w:rFonts w:asciiTheme="majorHAnsi" w:hAnsiTheme="majorHAnsi" w:cstheme="majorHAnsi"/>
          <w:b/>
          <w:bCs/>
          <w:color w:val="auto"/>
          <w:lang w:eastAsia="sv-SE"/>
        </w:rPr>
        <w:t>Valutarisk</w:t>
      </w:r>
    </w:p>
    <w:p w:rsidRPr="00156FE7" w:rsidR="00A2423D" w:rsidP="00A2423D" w:rsidRDefault="00A2423D" w14:paraId="367D78D2" w14:textId="77777777">
      <w:pPr>
        <w:pStyle w:val="BodyText"/>
      </w:pPr>
      <w:r w:rsidRPr="00156FE7">
        <w:t>Xbrane utsätts för en valutakursrisk då Bolaget rapporterar i SEK men en stor del av kostnaderna är i andra valutor än SEK. Bolagets helägda dotterbolag Primm Pharma hade tidigare sin verksamhet i Milano, Italien och verkar därför i annan valuta än SEK. Verksamheten är per dagen för Prospektet avvecklad och Xbranes avsikt är att, i enlighet med tidigare taget beslut, att verka för en försäljning av dotterbolaget. Valutarisken som Bolaget är exponerat för delas upp i två kategorier, omräkningsexponering eller transaktionsexponering.</w:t>
      </w:r>
    </w:p>
    <w:p w:rsidRPr="00156FE7" w:rsidR="00A2423D" w:rsidP="00A2423D" w:rsidRDefault="00A2423D" w14:paraId="282C5FB4" w14:textId="2EA193D9">
      <w:pPr>
        <w:pStyle w:val="BodyText"/>
      </w:pPr>
      <w:r w:rsidRPr="00156FE7">
        <w:t>Omräkningsexponering uppkommer vid omräkning av dotterbolagets egna kapital och resultat till Koncernens rapporteringsvaluta.</w:t>
      </w:r>
      <w:r>
        <w:t xml:space="preserve"> </w:t>
      </w:r>
      <w:r w:rsidRPr="00156FE7">
        <w:t>Transaktionsexponering kommer från växelkursförändringar i nettokassaflödet från affärstransaktioner i andra valutor än redovisningsvalutan. Sådana förändringar påverkar resultat- och balansräkningen kontinuerligt under hela året. De kostnader som Xbrane har löpande under räkenskapsåret är till största del i EUR, USD samt CHF.</w:t>
      </w:r>
    </w:p>
    <w:sectPr w:rsidRPr="00156FE7" w:rsidR="00A2423D" w:rsidSect="00811A11">
      <w:headerReference w:type="even" r:id="rId11"/>
      <w:headerReference w:type="default" r:id="rId12"/>
      <w:footerReference w:type="even" r:id="rId13"/>
      <w:footerReference w:type="default" r:id="rId14"/>
      <w:headerReference w:type="first" r:id="rId15"/>
      <w:footerReference w:type="first" r:id="rId16"/>
      <w:pgSz w:w="11907" w:h="16839"/>
      <w:pgMar w:top="1440" w:right="1080" w:bottom="1440" w:left="1080" w:header="864"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601D" w:rsidRDefault="0088601D" w14:paraId="5617BAE9" w14:textId="77777777">
      <w:r>
        <w:separator/>
      </w:r>
    </w:p>
  </w:endnote>
  <w:endnote w:type="continuationSeparator" w:id="0">
    <w:p w:rsidR="0088601D" w:rsidRDefault="0088601D" w14:paraId="76A6F7A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35F7" w:rsidP="009F6D09" w:rsidRDefault="00F835F7" w14:paraId="6E16C1C0" w14:textId="7777777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374BA2">
      <w:rPr>
        <w:rStyle w:val="PageNumber"/>
      </w:rPr>
      <w:t>2</w:t>
    </w:r>
    <w:r>
      <w:rPr>
        <w:rStyle w:val="PageNumber"/>
      </w:rPr>
      <w:fldChar w:fldCharType="end"/>
    </w:r>
  </w:p>
  <w:p w:rsidR="00F835F7" w:rsidP="009F6D09" w:rsidRDefault="00F835F7" w14:paraId="7A13CF2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01D" w:rsidP="0088601D" w:rsidRDefault="0088601D" w14:paraId="3D718F43"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88601D" w:rsidRDefault="009C5471" w14:paraId="4891DE99" w14:textId="466D8359">
    <w:pPr>
      <w:pStyle w:val="Footer"/>
    </w:pPr>
    <w:fldSimple w:instr=" DOCVARIABLE DMReference \* MERGEFORMAT ">
      <w:r w:rsidRPr="00477E94" w:rsidR="00477E94">
        <w:rPr>
          <w:rStyle w:val="DMReference"/>
        </w:rPr>
        <w:t>505756983-v2\EMEA_DMS</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145958768"/>
      <w:docPartObj>
        <w:docPartGallery w:val="Page Numbers (Bottom of Page)"/>
        <w:docPartUnique/>
      </w:docPartObj>
    </w:sdtPr>
    <w:sdtEndPr>
      <w:rPr>
        <w:noProof/>
      </w:rPr>
    </w:sdtEndPr>
    <w:sdtContent>
      <w:p w:rsidR="002D0955" w:rsidRDefault="002D0955" w14:paraId="357F722E" w14:textId="3AF9CE3E">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rsidR="009C5471" w:rsidRDefault="009C5471" w14:paraId="20DDDEAB" w14:textId="3729A7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601D" w:rsidRDefault="0088601D" w14:paraId="53E985CE" w14:textId="77777777">
      <w:r>
        <w:separator/>
      </w:r>
    </w:p>
  </w:footnote>
  <w:footnote w:type="continuationSeparator" w:id="0">
    <w:p w:rsidR="0088601D" w:rsidRDefault="0088601D" w14:paraId="7A7E938D" w14:textId="77777777">
      <w:r>
        <w:continuationSeparator/>
      </w:r>
    </w:p>
  </w:footnote>
  <w:footnote w:id="1">
    <w:p w:rsidR="00477E94" w:rsidRDefault="00477E94" w14:paraId="35C38C0E" w14:textId="038CADFE">
      <w:pPr>
        <w:pStyle w:val="FootnoteText"/>
      </w:pPr>
      <w:r>
        <w:rPr>
          <w:rStyle w:val="FootnoteReference"/>
        </w:rPr>
        <w:footnoteRef/>
      </w:r>
      <w:r>
        <w:t xml:space="preserve"> Inkluderar aktierna från den Riktade Emissionen som registrerades den 10 juli men inkluderar ej aktierna som är föremål för godkännande från ISP.</w:t>
      </w:r>
    </w:p>
  </w:footnote>
  <w:footnote w:id="2">
    <w:p w:rsidR="00831413" w:rsidRDefault="00831413" w14:paraId="165CC65E" w14:textId="33F49BE5">
      <w:pPr>
        <w:pStyle w:val="FootnoteText"/>
      </w:pPr>
      <w:r>
        <w:rPr>
          <w:rStyle w:val="FootnoteReference"/>
        </w:rPr>
        <w:footnoteRef/>
      </w:r>
      <w:r>
        <w:t xml:space="preserve"> BTAerna kommer ej </w:t>
      </w:r>
      <w:r w:rsidR="002E1A28">
        <w:t xml:space="preserve">att </w:t>
      </w:r>
      <w:r>
        <w:t xml:space="preserve">tas upp till handel. </w:t>
      </w:r>
    </w:p>
  </w:footnote>
  <w:footnote w:id="3">
    <w:p w:rsidR="002D0955" w:rsidP="002D0955" w:rsidRDefault="002D0955" w14:paraId="2A8B5E88" w14:textId="1274CE73">
      <w:pPr>
        <w:pStyle w:val="FootnoteText"/>
      </w:pPr>
      <w:r>
        <w:rPr>
          <w:rStyle w:val="FootnoteReference"/>
        </w:rPr>
        <w:footnoteRef/>
      </w:r>
      <w:r>
        <w:t xml:space="preserve"> Avser ej aktier som är föremål för godkännande från ISP. Den del av den Riktade Emissionen som är föremål för godkännande från ISP kommer att tas upp till handel efter att ISP godkänt investeringen. Detta beräknas ske i augusti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23D" w:rsidRDefault="00A2423D" w14:paraId="750B632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23D" w:rsidRDefault="00A2423D" w14:paraId="027F909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B0489" w:rsidR="007B0489" w:rsidP="00886195" w:rsidRDefault="007B0489" w14:paraId="44630CB1" w14:textId="0E4DB37B">
    <w:pPr>
      <w:pStyle w:val="Header"/>
      <w:jc w:val="both"/>
      <w:rPr>
        <w:rFonts w:ascii="Avenir Next LT Pro" w:hAnsi="Avenir Next LT Pro"/>
      </w:rPr>
    </w:pPr>
    <w:r w:rsidRPr="007B0489">
      <w:rPr>
        <w:rFonts w:ascii="Avenir Next LT Pro" w:hAnsi="Avenir Next LT Pro"/>
      </w:rPr>
      <w:t>EJ FÖR OFFENTLIGGÖRANDE, DISTRIBUTION ELLER PUBLICERING, VARE SIG DIREKT ELLER INDIREKT, INOM ELLER TILL AUSTRALIEN, HONGKONG, JAPAN, KANADA, NYA ZEELAND, SINGAPORE, SYDAFRIKA, USA, ELLER NÅGON ANNAN JURISDIKTION DÄR SÅDAN ÅTGÄRD HELT ELLER DELVIS ÄR FÖREMÅL FÖR LEGALA RESTRIKTIONER.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7D0699E"/>
    <w:lvl w:ilvl="0">
      <w:start w:val="1"/>
      <w:numFmt w:val="decimal"/>
      <w:lvlText w:val="%1."/>
      <w:lvlJc w:val="left"/>
      <w:pPr>
        <w:tabs>
          <w:tab w:val="num" w:pos="1492"/>
        </w:tabs>
        <w:ind w:left="1492" w:hanging="360"/>
      </w:pPr>
    </w:lvl>
  </w:abstractNum>
  <w:abstractNum w:abstractNumId="1" w15:restartNumberingAfterBreak="0">
    <w:nsid w:val="FFFFFF80"/>
    <w:multiLevelType w:val="singleLevel"/>
    <w:tmpl w:val="2892EC1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3E64986"/>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7EA86EB8"/>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C2899AE"/>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6CBCF2EC"/>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3B1238"/>
    <w:multiLevelType w:val="multilevel"/>
    <w:tmpl w:val="204C8D46"/>
    <w:lvl w:ilvl="0">
      <w:start w:val="1"/>
      <w:numFmt w:val="none"/>
      <w:suff w:val="nothing"/>
      <w:lvlText w:val=""/>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1418" w:firstLine="0"/>
      </w:pPr>
      <w:rPr>
        <w:rFonts w:hint="default"/>
      </w:rPr>
    </w:lvl>
    <w:lvl w:ilvl="3">
      <w:start w:val="1"/>
      <w:numFmt w:val="none"/>
      <w:suff w:val="nothing"/>
      <w:lvlText w:val=""/>
      <w:lvlJc w:val="left"/>
      <w:pPr>
        <w:ind w:left="2126"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96C1985"/>
    <w:multiLevelType w:val="multilevel"/>
    <w:tmpl w:val="D70EC034"/>
    <w:styleLink w:val="BMSchedules"/>
    <w:lvl w:ilvl="0">
      <w:start w:val="1"/>
      <w:numFmt w:val="none"/>
      <w:lvlRestart w:val="0"/>
      <w:pStyle w:val="SchH1"/>
      <w:suff w:val="nothing"/>
      <w:lvlText w:val="%1"/>
      <w:lvlJc w:val="left"/>
      <w:pPr>
        <w:ind w:left="0" w:firstLine="0"/>
      </w:pPr>
      <w:rPr>
        <w:rFonts w:hint="default"/>
      </w:rPr>
    </w:lvl>
    <w:lvl w:ilvl="1">
      <w:start w:val="1"/>
      <w:numFmt w:val="decimal"/>
      <w:pStyle w:val="SchH2"/>
      <w:lvlText w:val="%1%2."/>
      <w:lvlJc w:val="left"/>
      <w:pPr>
        <w:tabs>
          <w:tab w:val="num" w:pos="709"/>
        </w:tabs>
        <w:ind w:left="709" w:hanging="709"/>
      </w:pPr>
      <w:rPr>
        <w:rFonts w:hint="default"/>
      </w:rPr>
    </w:lvl>
    <w:lvl w:ilvl="2">
      <w:start w:val="1"/>
      <w:numFmt w:val="decimal"/>
      <w:pStyle w:val="SchH3"/>
      <w:lvlText w:val="%2.%3"/>
      <w:lvlJc w:val="left"/>
      <w:pPr>
        <w:tabs>
          <w:tab w:val="num" w:pos="709"/>
        </w:tabs>
        <w:ind w:left="709" w:hanging="709"/>
      </w:pPr>
      <w:rPr>
        <w:rFonts w:hint="default"/>
      </w:rPr>
    </w:lvl>
    <w:lvl w:ilvl="3">
      <w:start w:val="1"/>
      <w:numFmt w:val="lowerLetter"/>
      <w:pStyle w:val="SchH4"/>
      <w:lvlText w:val="(%4)"/>
      <w:lvlJc w:val="left"/>
      <w:pPr>
        <w:tabs>
          <w:tab w:val="num" w:pos="1418"/>
        </w:tabs>
        <w:ind w:left="1418" w:hanging="709"/>
      </w:pPr>
      <w:rPr>
        <w:rFonts w:hint="default"/>
      </w:rPr>
    </w:lvl>
    <w:lvl w:ilvl="4">
      <w:start w:val="1"/>
      <w:numFmt w:val="lowerRoman"/>
      <w:pStyle w:val="SchH5"/>
      <w:lvlText w:val="(%5)"/>
      <w:lvlJc w:val="left"/>
      <w:pPr>
        <w:tabs>
          <w:tab w:val="num" w:pos="2126"/>
        </w:tabs>
        <w:ind w:left="2126" w:hanging="708"/>
      </w:pPr>
      <w:rPr>
        <w:rFonts w:hint="default"/>
      </w:rPr>
    </w:lvl>
    <w:lvl w:ilvl="5">
      <w:start w:val="1"/>
      <w:numFmt w:val="upperLetter"/>
      <w:pStyle w:val="SchH6"/>
      <w:lvlText w:val="(%6)"/>
      <w:lvlJc w:val="left"/>
      <w:pPr>
        <w:tabs>
          <w:tab w:val="num" w:pos="2835"/>
        </w:tabs>
        <w:ind w:left="2835" w:hanging="709"/>
      </w:pPr>
      <w:rPr>
        <w:rFonts w:hint="default"/>
      </w:rPr>
    </w:lvl>
    <w:lvl w:ilvl="6">
      <w:start w:val="1"/>
      <w:numFmt w:val="decimal"/>
      <w:pStyle w:val="SchH7"/>
      <w:lvlText w:val="(%7)"/>
      <w:lvlJc w:val="left"/>
      <w:pPr>
        <w:tabs>
          <w:tab w:val="num" w:pos="3544"/>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8" w15:restartNumberingAfterBreak="0">
    <w:nsid w:val="099F52AB"/>
    <w:multiLevelType w:val="multilevel"/>
    <w:tmpl w:val="D70EC034"/>
    <w:numStyleLink w:val="BMSchedules"/>
  </w:abstractNum>
  <w:abstractNum w:abstractNumId="9" w15:restartNumberingAfterBreak="0">
    <w:nsid w:val="18A8275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8B645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1BE28D7"/>
    <w:multiLevelType w:val="hybridMultilevel"/>
    <w:tmpl w:val="F3B6362C"/>
    <w:lvl w:ilvl="0" w:tplc="B206003A">
      <w:start w:val="1"/>
      <w:numFmt w:val="upperLetter"/>
      <w:pStyle w:val="Recital"/>
      <w:lvlText w:val="%1"/>
      <w:lvlJc w:val="left"/>
      <w:pPr>
        <w:tabs>
          <w:tab w:val="num" w:pos="709"/>
        </w:tabs>
        <w:ind w:left="709" w:hanging="709"/>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2F1C7A27"/>
    <w:multiLevelType w:val="hybridMultilevel"/>
    <w:tmpl w:val="06924C16"/>
    <w:lvl w:ilvl="0" w:tplc="1434604E">
      <w:start w:val="1"/>
      <w:numFmt w:val="bullet"/>
      <w:pStyle w:val="Bullet2"/>
      <w:lvlText w:val=""/>
      <w:lvlJc w:val="left"/>
      <w:pPr>
        <w:tabs>
          <w:tab w:val="num" w:pos="357"/>
        </w:tabs>
        <w:ind w:left="357" w:hanging="35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451C4C"/>
    <w:multiLevelType w:val="multilevel"/>
    <w:tmpl w:val="7B24B224"/>
    <w:styleLink w:val="BMHeadings"/>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lowerLetter"/>
      <w:pStyle w:val="Heading4"/>
      <w:lvlText w:val="(%4)"/>
      <w:lvlJc w:val="left"/>
      <w:pPr>
        <w:tabs>
          <w:tab w:val="num" w:pos="1418"/>
        </w:tabs>
        <w:ind w:left="1418" w:hanging="709"/>
      </w:pPr>
      <w:rPr>
        <w:rFonts w:hint="default"/>
      </w:rPr>
    </w:lvl>
    <w:lvl w:ilvl="4">
      <w:start w:val="1"/>
      <w:numFmt w:val="lowerRoman"/>
      <w:pStyle w:val="Heading5"/>
      <w:lvlText w:val="(%5)"/>
      <w:lvlJc w:val="left"/>
      <w:pPr>
        <w:tabs>
          <w:tab w:val="num" w:pos="2126"/>
        </w:tabs>
        <w:ind w:left="2126" w:hanging="708"/>
      </w:pPr>
      <w:rPr>
        <w:rFonts w:hint="default"/>
      </w:rPr>
    </w:lvl>
    <w:lvl w:ilvl="5">
      <w:start w:val="1"/>
      <w:numFmt w:val="upperLetter"/>
      <w:pStyle w:val="Heading6"/>
      <w:lvlText w:val="(%6)"/>
      <w:lvlJc w:val="left"/>
      <w:pPr>
        <w:tabs>
          <w:tab w:val="num" w:pos="2835"/>
        </w:tabs>
        <w:ind w:left="2835" w:hanging="709"/>
      </w:pPr>
      <w:rPr>
        <w:rFonts w:hint="default"/>
      </w:rPr>
    </w:lvl>
    <w:lvl w:ilvl="6">
      <w:start w:val="1"/>
      <w:numFmt w:val="decimal"/>
      <w:pStyle w:val="Heading7"/>
      <w:lvlText w:val="(%7)"/>
      <w:lvlJc w:val="left"/>
      <w:pPr>
        <w:tabs>
          <w:tab w:val="num" w:pos="2835"/>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4" w15:restartNumberingAfterBreak="0">
    <w:nsid w:val="32DE1DBB"/>
    <w:multiLevelType w:val="multilevel"/>
    <w:tmpl w:val="204C8D46"/>
    <w:lvl w:ilvl="0">
      <w:start w:val="1"/>
      <w:numFmt w:val="none"/>
      <w:suff w:val="nothing"/>
      <w:lvlText w:val=""/>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1418" w:firstLine="0"/>
      </w:pPr>
      <w:rPr>
        <w:rFonts w:hint="default"/>
      </w:rPr>
    </w:lvl>
    <w:lvl w:ilvl="3">
      <w:start w:val="1"/>
      <w:numFmt w:val="none"/>
      <w:suff w:val="nothing"/>
      <w:lvlText w:val=""/>
      <w:lvlJc w:val="left"/>
      <w:pPr>
        <w:ind w:left="2126"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389D1BF3"/>
    <w:multiLevelType w:val="multilevel"/>
    <w:tmpl w:val="7B24B224"/>
    <w:numStyleLink w:val="BMHeadings"/>
  </w:abstractNum>
  <w:abstractNum w:abstractNumId="16" w15:restartNumberingAfterBreak="0">
    <w:nsid w:val="395A75B2"/>
    <w:multiLevelType w:val="multilevel"/>
    <w:tmpl w:val="204C8D46"/>
    <w:lvl w:ilvl="0">
      <w:start w:val="1"/>
      <w:numFmt w:val="none"/>
      <w:suff w:val="nothing"/>
      <w:lvlText w:val=""/>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1418" w:firstLine="0"/>
      </w:pPr>
      <w:rPr>
        <w:rFonts w:hint="default"/>
      </w:rPr>
    </w:lvl>
    <w:lvl w:ilvl="3">
      <w:start w:val="1"/>
      <w:numFmt w:val="none"/>
      <w:suff w:val="nothing"/>
      <w:lvlText w:val=""/>
      <w:lvlJc w:val="left"/>
      <w:pPr>
        <w:ind w:left="2126"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3B6376C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AF549D"/>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0622118"/>
    <w:multiLevelType w:val="multilevel"/>
    <w:tmpl w:val="F492126A"/>
    <w:styleLink w:val="BMListNumbers"/>
    <w:lvl w:ilvl="0">
      <w:start w:val="1"/>
      <w:numFmt w:val="decimal"/>
      <w:pStyle w:val="ListNumber"/>
      <w:lvlText w:val="%1."/>
      <w:lvlJc w:val="left"/>
      <w:pPr>
        <w:tabs>
          <w:tab w:val="num" w:pos="709"/>
        </w:tabs>
        <w:ind w:left="709" w:hanging="709"/>
      </w:pPr>
      <w:rPr>
        <w:rFonts w:hint="default"/>
      </w:rPr>
    </w:lvl>
    <w:lvl w:ilvl="1">
      <w:start w:val="1"/>
      <w:numFmt w:val="lowerLetter"/>
      <w:lvlRestart w:val="0"/>
      <w:pStyle w:val="ListNumber2"/>
      <w:lvlText w:val="(%2)"/>
      <w:lvlJc w:val="left"/>
      <w:pPr>
        <w:tabs>
          <w:tab w:val="num" w:pos="1418"/>
        </w:tabs>
        <w:ind w:left="1418" w:hanging="709"/>
      </w:pPr>
      <w:rPr>
        <w:rFonts w:hint="default"/>
      </w:rPr>
    </w:lvl>
    <w:lvl w:ilvl="2">
      <w:start w:val="1"/>
      <w:numFmt w:val="lowerRoman"/>
      <w:lvlRestart w:val="0"/>
      <w:pStyle w:val="ListNumber3"/>
      <w:lvlText w:val="(%3)"/>
      <w:lvlJc w:val="left"/>
      <w:pPr>
        <w:tabs>
          <w:tab w:val="num" w:pos="2126"/>
        </w:tabs>
        <w:ind w:left="2126" w:hanging="708"/>
      </w:pPr>
      <w:rPr>
        <w:rFonts w:hint="default"/>
      </w:rPr>
    </w:lvl>
    <w:lvl w:ilvl="3">
      <w:start w:val="1"/>
      <w:numFmt w:val="upperLetter"/>
      <w:lvlRestart w:val="0"/>
      <w:pStyle w:val="ListNumber4"/>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0" w15:restartNumberingAfterBreak="0">
    <w:nsid w:val="43A3161B"/>
    <w:multiLevelType w:val="multilevel"/>
    <w:tmpl w:val="204C8D46"/>
    <w:lvl w:ilvl="0">
      <w:start w:val="1"/>
      <w:numFmt w:val="none"/>
      <w:suff w:val="nothing"/>
      <w:lvlText w:val=""/>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1418" w:firstLine="0"/>
      </w:pPr>
      <w:rPr>
        <w:rFonts w:hint="default"/>
      </w:rPr>
    </w:lvl>
    <w:lvl w:ilvl="3">
      <w:start w:val="1"/>
      <w:numFmt w:val="none"/>
      <w:suff w:val="nothing"/>
      <w:lvlText w:val=""/>
      <w:lvlJc w:val="left"/>
      <w:pPr>
        <w:ind w:left="2126"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460B69D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6D17B1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8FC3910"/>
    <w:multiLevelType w:val="multilevel"/>
    <w:tmpl w:val="7B24B224"/>
    <w:numStyleLink w:val="BMHeadings"/>
  </w:abstractNum>
  <w:abstractNum w:abstractNumId="24" w15:restartNumberingAfterBreak="0">
    <w:nsid w:val="4B1E03F2"/>
    <w:multiLevelType w:val="hybridMultilevel"/>
    <w:tmpl w:val="3320D3F6"/>
    <w:lvl w:ilvl="0" w:tplc="FF422F1C">
      <w:start w:val="1"/>
      <w:numFmt w:val="decimal"/>
      <w:lvlText w:val="%1)"/>
      <w:lvlJc w:val="left"/>
      <w:pPr>
        <w:ind w:left="720" w:hanging="360"/>
      </w:pPr>
    </w:lvl>
    <w:lvl w:ilvl="1" w:tplc="AF3615CA" w:tentative="1">
      <w:start w:val="1"/>
      <w:numFmt w:val="lowerLetter"/>
      <w:lvlText w:val="%2."/>
      <w:lvlJc w:val="left"/>
      <w:pPr>
        <w:ind w:left="1440" w:hanging="360"/>
      </w:pPr>
    </w:lvl>
    <w:lvl w:ilvl="2" w:tplc="695C639A" w:tentative="1">
      <w:start w:val="1"/>
      <w:numFmt w:val="lowerRoman"/>
      <w:lvlText w:val="%3."/>
      <w:lvlJc w:val="right"/>
      <w:pPr>
        <w:ind w:left="2160" w:hanging="180"/>
      </w:pPr>
    </w:lvl>
    <w:lvl w:ilvl="3" w:tplc="99421422" w:tentative="1">
      <w:start w:val="1"/>
      <w:numFmt w:val="decimal"/>
      <w:lvlText w:val="%4."/>
      <w:lvlJc w:val="left"/>
      <w:pPr>
        <w:ind w:left="2880" w:hanging="360"/>
      </w:pPr>
    </w:lvl>
    <w:lvl w:ilvl="4" w:tplc="C28270F0" w:tentative="1">
      <w:start w:val="1"/>
      <w:numFmt w:val="lowerLetter"/>
      <w:lvlText w:val="%5."/>
      <w:lvlJc w:val="left"/>
      <w:pPr>
        <w:ind w:left="3600" w:hanging="360"/>
      </w:pPr>
    </w:lvl>
    <w:lvl w:ilvl="5" w:tplc="12F81CFC" w:tentative="1">
      <w:start w:val="1"/>
      <w:numFmt w:val="lowerRoman"/>
      <w:lvlText w:val="%6."/>
      <w:lvlJc w:val="right"/>
      <w:pPr>
        <w:ind w:left="4320" w:hanging="180"/>
      </w:pPr>
    </w:lvl>
    <w:lvl w:ilvl="6" w:tplc="31A84502" w:tentative="1">
      <w:start w:val="1"/>
      <w:numFmt w:val="decimal"/>
      <w:lvlText w:val="%7."/>
      <w:lvlJc w:val="left"/>
      <w:pPr>
        <w:ind w:left="5040" w:hanging="360"/>
      </w:pPr>
    </w:lvl>
    <w:lvl w:ilvl="7" w:tplc="E37CA8AA" w:tentative="1">
      <w:start w:val="1"/>
      <w:numFmt w:val="lowerLetter"/>
      <w:lvlText w:val="%8."/>
      <w:lvlJc w:val="left"/>
      <w:pPr>
        <w:ind w:left="5760" w:hanging="360"/>
      </w:pPr>
    </w:lvl>
    <w:lvl w:ilvl="8" w:tplc="2F6A54EA" w:tentative="1">
      <w:start w:val="1"/>
      <w:numFmt w:val="lowerRoman"/>
      <w:lvlText w:val="%9."/>
      <w:lvlJc w:val="right"/>
      <w:pPr>
        <w:ind w:left="6480" w:hanging="180"/>
      </w:pPr>
    </w:lvl>
  </w:abstractNum>
  <w:abstractNum w:abstractNumId="25" w15:restartNumberingAfterBreak="0">
    <w:nsid w:val="517C537A"/>
    <w:multiLevelType w:val="multilevel"/>
    <w:tmpl w:val="F81835CC"/>
    <w:styleLink w:val="BMDefinitions"/>
    <w:lvl w:ilvl="0">
      <w:start w:val="1"/>
      <w:numFmt w:val="none"/>
      <w:pStyle w:val="DefinitionParagraph"/>
      <w:suff w:val="nothing"/>
      <w:lvlText w:val=""/>
      <w:lvlJc w:val="left"/>
      <w:pPr>
        <w:ind w:left="709" w:firstLine="0"/>
      </w:pPr>
      <w:rPr>
        <w:rFonts w:hint="default"/>
      </w:rPr>
    </w:lvl>
    <w:lvl w:ilvl="1">
      <w:start w:val="1"/>
      <w:numFmt w:val="lowerLetter"/>
      <w:pStyle w:val="Da"/>
      <w:lvlText w:val="(%2)"/>
      <w:lvlJc w:val="left"/>
      <w:pPr>
        <w:tabs>
          <w:tab w:val="num" w:pos="1418"/>
        </w:tabs>
        <w:ind w:left="1418" w:hanging="709"/>
      </w:pPr>
      <w:rPr>
        <w:rFonts w:hint="default"/>
      </w:rPr>
    </w:lvl>
    <w:lvl w:ilvl="2">
      <w:start w:val="1"/>
      <w:numFmt w:val="lowerRoman"/>
      <w:pStyle w:val="Di"/>
      <w:lvlText w:val="(%3)"/>
      <w:lvlJc w:val="left"/>
      <w:pPr>
        <w:tabs>
          <w:tab w:val="num" w:pos="2126"/>
        </w:tabs>
        <w:ind w:left="2126" w:hanging="708"/>
      </w:pPr>
      <w:rPr>
        <w:rFonts w:hint="default"/>
      </w:rPr>
    </w:lvl>
    <w:lvl w:ilvl="3">
      <w:start w:val="1"/>
      <w:numFmt w:val="upperLetter"/>
      <w:pStyle w:val="DA0"/>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6" w15:restartNumberingAfterBreak="0">
    <w:nsid w:val="534C62B3"/>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57854C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D3867F6"/>
    <w:multiLevelType w:val="hybridMultilevel"/>
    <w:tmpl w:val="1BCEEF14"/>
    <w:lvl w:ilvl="0" w:tplc="72441892">
      <w:start w:val="1"/>
      <w:numFmt w:val="bullet"/>
      <w:pStyle w:val="Bullet1"/>
      <w:lvlText w:val=""/>
      <w:lvlJc w:val="left"/>
      <w:pPr>
        <w:tabs>
          <w:tab w:val="num" w:pos="709"/>
        </w:tabs>
        <w:ind w:left="709" w:hanging="709"/>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6500C9"/>
    <w:multiLevelType w:val="multilevel"/>
    <w:tmpl w:val="D158B1E2"/>
    <w:lvl w:ilvl="0">
      <w:start w:val="1"/>
      <w:numFmt w:val="none"/>
      <w:pStyle w:val="TableHeadings"/>
      <w:suff w:val="nothing"/>
      <w:lvlText w:val="%1"/>
      <w:lvlJc w:val="left"/>
      <w:pPr>
        <w:ind w:left="0" w:firstLine="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794"/>
        </w:tabs>
        <w:ind w:left="794" w:hanging="437"/>
      </w:pPr>
      <w:rPr>
        <w:rFonts w:hint="default"/>
      </w:rPr>
    </w:lvl>
    <w:lvl w:ilvl="3">
      <w:start w:val="1"/>
      <w:numFmt w:val="decimal"/>
      <w:lvlText w:val="%2.%3.%4"/>
      <w:lvlJc w:val="left"/>
      <w:pPr>
        <w:tabs>
          <w:tab w:val="num" w:pos="1361"/>
        </w:tabs>
        <w:ind w:left="1361" w:hanging="567"/>
      </w:pPr>
      <w:rPr>
        <w:rFonts w:hint="default"/>
      </w:rPr>
    </w:lvl>
    <w:lvl w:ilvl="4">
      <w:start w:val="1"/>
      <w:numFmt w:val="lowerRoman"/>
      <w:lvlText w:val="(%5)"/>
      <w:lvlJc w:val="left"/>
      <w:pPr>
        <w:tabs>
          <w:tab w:val="num" w:pos="992"/>
        </w:tabs>
        <w:ind w:left="992" w:hanging="992"/>
      </w:pPr>
      <w:rPr>
        <w:rFonts w:hint="default"/>
      </w:rPr>
    </w:lvl>
    <w:lvl w:ilvl="5">
      <w:start w:val="1"/>
      <w:numFmt w:val="upperLetter"/>
      <w:lvlText w:val="(%6)"/>
      <w:lvlJc w:val="left"/>
      <w:pPr>
        <w:tabs>
          <w:tab w:val="num" w:pos="992"/>
        </w:tabs>
        <w:ind w:left="992" w:hanging="992"/>
      </w:pPr>
      <w:rPr>
        <w:rFonts w:hint="default"/>
      </w:rPr>
    </w:lvl>
    <w:lvl w:ilvl="6">
      <w:start w:val="1"/>
      <w:numFmt w:val="upperRoman"/>
      <w:lvlText w:val="%7."/>
      <w:lvlJc w:val="left"/>
      <w:pPr>
        <w:tabs>
          <w:tab w:val="num" w:pos="720"/>
        </w:tabs>
        <w:ind w:left="720" w:firstLine="0"/>
      </w:pPr>
      <w:rPr>
        <w:rFonts w:hint="default"/>
      </w:rPr>
    </w:lvl>
    <w:lvl w:ilvl="7">
      <w:start w:val="1"/>
      <w:numFmt w:val="lowerLetter"/>
      <w:lvlText w:val="%8."/>
      <w:lvlJc w:val="left"/>
      <w:pPr>
        <w:tabs>
          <w:tab w:val="num" w:pos="720"/>
        </w:tabs>
        <w:ind w:left="720" w:firstLine="0"/>
      </w:pPr>
      <w:rPr>
        <w:rFonts w:hint="default"/>
      </w:rPr>
    </w:lvl>
    <w:lvl w:ilvl="8">
      <w:start w:val="1"/>
      <w:numFmt w:val="upperLetter"/>
      <w:lvlText w:val="%9."/>
      <w:lvlJc w:val="left"/>
      <w:pPr>
        <w:tabs>
          <w:tab w:val="num" w:pos="720"/>
        </w:tabs>
        <w:ind w:left="720" w:firstLine="0"/>
      </w:pPr>
      <w:rPr>
        <w:rFonts w:hint="default"/>
      </w:rPr>
    </w:lvl>
  </w:abstractNum>
  <w:abstractNum w:abstractNumId="30" w15:restartNumberingAfterBreak="0">
    <w:nsid w:val="622B59AD"/>
    <w:multiLevelType w:val="multilevel"/>
    <w:tmpl w:val="204C8D46"/>
    <w:lvl w:ilvl="0">
      <w:start w:val="1"/>
      <w:numFmt w:val="none"/>
      <w:suff w:val="nothing"/>
      <w:lvlText w:val=""/>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1418" w:firstLine="0"/>
      </w:pPr>
      <w:rPr>
        <w:rFonts w:hint="default"/>
      </w:rPr>
    </w:lvl>
    <w:lvl w:ilvl="3">
      <w:start w:val="1"/>
      <w:numFmt w:val="none"/>
      <w:suff w:val="nothing"/>
      <w:lvlText w:val=""/>
      <w:lvlJc w:val="left"/>
      <w:pPr>
        <w:ind w:left="2126"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634C1A36"/>
    <w:multiLevelType w:val="hybridMultilevel"/>
    <w:tmpl w:val="9DB83B74"/>
    <w:lvl w:ilvl="0" w:tplc="6074BAB0">
      <w:start w:val="1"/>
      <w:numFmt w:val="upp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689866F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1D4F60"/>
    <w:multiLevelType w:val="multilevel"/>
    <w:tmpl w:val="204C8D46"/>
    <w:lvl w:ilvl="0">
      <w:start w:val="1"/>
      <w:numFmt w:val="none"/>
      <w:suff w:val="nothing"/>
      <w:lvlText w:val=""/>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1418" w:firstLine="0"/>
      </w:pPr>
      <w:rPr>
        <w:rFonts w:hint="default"/>
      </w:rPr>
    </w:lvl>
    <w:lvl w:ilvl="3">
      <w:start w:val="1"/>
      <w:numFmt w:val="none"/>
      <w:suff w:val="nothing"/>
      <w:lvlText w:val=""/>
      <w:lvlJc w:val="left"/>
      <w:pPr>
        <w:ind w:left="2126"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72A62C68"/>
    <w:multiLevelType w:val="hybridMultilevel"/>
    <w:tmpl w:val="BBD0B2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40771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633669C"/>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78455AA"/>
    <w:multiLevelType w:val="hybridMultilevel"/>
    <w:tmpl w:val="4CD034DA"/>
    <w:lvl w:ilvl="0" w:tplc="FFDEB65A">
      <w:start w:val="1"/>
      <w:numFmt w:val="decimal"/>
      <w:lvlText w:val="%1."/>
      <w:lvlJc w:val="left"/>
      <w:pPr>
        <w:ind w:left="720" w:hanging="360"/>
      </w:pPr>
    </w:lvl>
    <w:lvl w:ilvl="1" w:tplc="4ED826DA">
      <w:start w:val="1"/>
      <w:numFmt w:val="decimal"/>
      <w:lvlText w:val="%2."/>
      <w:lvlJc w:val="left"/>
      <w:pPr>
        <w:ind w:left="720" w:hanging="360"/>
      </w:pPr>
    </w:lvl>
    <w:lvl w:ilvl="2" w:tplc="FFB69DB8">
      <w:start w:val="1"/>
      <w:numFmt w:val="decimal"/>
      <w:lvlText w:val="%3."/>
      <w:lvlJc w:val="left"/>
      <w:pPr>
        <w:ind w:left="720" w:hanging="360"/>
      </w:pPr>
    </w:lvl>
    <w:lvl w:ilvl="3" w:tplc="12F460CC">
      <w:start w:val="1"/>
      <w:numFmt w:val="decimal"/>
      <w:lvlText w:val="%4."/>
      <w:lvlJc w:val="left"/>
      <w:pPr>
        <w:ind w:left="720" w:hanging="360"/>
      </w:pPr>
    </w:lvl>
    <w:lvl w:ilvl="4" w:tplc="E154FF2E">
      <w:start w:val="1"/>
      <w:numFmt w:val="decimal"/>
      <w:lvlText w:val="%5."/>
      <w:lvlJc w:val="left"/>
      <w:pPr>
        <w:ind w:left="720" w:hanging="360"/>
      </w:pPr>
    </w:lvl>
    <w:lvl w:ilvl="5" w:tplc="2E4EF6F0">
      <w:start w:val="1"/>
      <w:numFmt w:val="decimal"/>
      <w:lvlText w:val="%6."/>
      <w:lvlJc w:val="left"/>
      <w:pPr>
        <w:ind w:left="720" w:hanging="360"/>
      </w:pPr>
    </w:lvl>
    <w:lvl w:ilvl="6" w:tplc="D5C0D088">
      <w:start w:val="1"/>
      <w:numFmt w:val="decimal"/>
      <w:lvlText w:val="%7."/>
      <w:lvlJc w:val="left"/>
      <w:pPr>
        <w:ind w:left="720" w:hanging="360"/>
      </w:pPr>
    </w:lvl>
    <w:lvl w:ilvl="7" w:tplc="A7FCEA7A">
      <w:start w:val="1"/>
      <w:numFmt w:val="decimal"/>
      <w:lvlText w:val="%8."/>
      <w:lvlJc w:val="left"/>
      <w:pPr>
        <w:ind w:left="720" w:hanging="360"/>
      </w:pPr>
    </w:lvl>
    <w:lvl w:ilvl="8" w:tplc="F740DE28">
      <w:start w:val="1"/>
      <w:numFmt w:val="decimal"/>
      <w:lvlText w:val="%9."/>
      <w:lvlJc w:val="left"/>
      <w:pPr>
        <w:ind w:left="720" w:hanging="360"/>
      </w:pPr>
    </w:lvl>
  </w:abstractNum>
  <w:abstractNum w:abstractNumId="38" w15:restartNumberingAfterBreak="0">
    <w:nsid w:val="78977BB2"/>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D1D0961"/>
    <w:multiLevelType w:val="hybridMultilevel"/>
    <w:tmpl w:val="1046B2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29296708">
    <w:abstractNumId w:val="28"/>
  </w:num>
  <w:num w:numId="2" w16cid:durableId="1882552149">
    <w:abstractNumId w:val="12"/>
  </w:num>
  <w:num w:numId="3" w16cid:durableId="1046757295">
    <w:abstractNumId w:val="13"/>
  </w:num>
  <w:num w:numId="4" w16cid:durableId="956445535">
    <w:abstractNumId w:val="19"/>
  </w:num>
  <w:num w:numId="5" w16cid:durableId="1803228839">
    <w:abstractNumId w:val="7"/>
  </w:num>
  <w:num w:numId="6" w16cid:durableId="1001857987">
    <w:abstractNumId w:val="25"/>
  </w:num>
  <w:num w:numId="7" w16cid:durableId="823086000">
    <w:abstractNumId w:val="22"/>
  </w:num>
  <w:num w:numId="8" w16cid:durableId="690764239">
    <w:abstractNumId w:val="21"/>
  </w:num>
  <w:num w:numId="9" w16cid:durableId="1848212604">
    <w:abstractNumId w:val="38"/>
  </w:num>
  <w:num w:numId="10" w16cid:durableId="1791588046">
    <w:abstractNumId w:val="5"/>
  </w:num>
  <w:num w:numId="11" w16cid:durableId="1596406016">
    <w:abstractNumId w:val="4"/>
  </w:num>
  <w:num w:numId="12" w16cid:durableId="1672642277">
    <w:abstractNumId w:val="3"/>
  </w:num>
  <w:num w:numId="13" w16cid:durableId="802190994">
    <w:abstractNumId w:val="2"/>
  </w:num>
  <w:num w:numId="14" w16cid:durableId="66349531">
    <w:abstractNumId w:val="1"/>
  </w:num>
  <w:num w:numId="15" w16cid:durableId="262108107">
    <w:abstractNumId w:val="0"/>
  </w:num>
  <w:num w:numId="16" w16cid:durableId="1292587477">
    <w:abstractNumId w:val="32"/>
  </w:num>
  <w:num w:numId="17" w16cid:durableId="561868593">
    <w:abstractNumId w:val="10"/>
  </w:num>
  <w:num w:numId="18" w16cid:durableId="160779662">
    <w:abstractNumId w:val="36"/>
  </w:num>
  <w:num w:numId="19" w16cid:durableId="1992637858">
    <w:abstractNumId w:val="9"/>
  </w:num>
  <w:num w:numId="20" w16cid:durableId="561059133">
    <w:abstractNumId w:val="26"/>
  </w:num>
  <w:num w:numId="21" w16cid:durableId="1501962146">
    <w:abstractNumId w:val="17"/>
  </w:num>
  <w:num w:numId="22" w16cid:durableId="207841839">
    <w:abstractNumId w:val="35"/>
  </w:num>
  <w:num w:numId="23" w16cid:durableId="653754125">
    <w:abstractNumId w:val="18"/>
  </w:num>
  <w:num w:numId="24" w16cid:durableId="2086409724">
    <w:abstractNumId w:val="15"/>
  </w:num>
  <w:num w:numId="25" w16cid:durableId="1768190704">
    <w:abstractNumId w:val="15"/>
  </w:num>
  <w:num w:numId="26" w16cid:durableId="1452162746">
    <w:abstractNumId w:val="15"/>
  </w:num>
  <w:num w:numId="27" w16cid:durableId="179592775">
    <w:abstractNumId w:val="15"/>
  </w:num>
  <w:num w:numId="28" w16cid:durableId="2137212504">
    <w:abstractNumId w:val="15"/>
  </w:num>
  <w:num w:numId="29" w16cid:durableId="2004580063">
    <w:abstractNumId w:val="15"/>
  </w:num>
  <w:num w:numId="30" w16cid:durableId="878248488">
    <w:abstractNumId w:val="11"/>
  </w:num>
  <w:num w:numId="31" w16cid:durableId="567689134">
    <w:abstractNumId w:val="29"/>
  </w:num>
  <w:num w:numId="32" w16cid:durableId="1071199338">
    <w:abstractNumId w:val="23"/>
  </w:num>
  <w:num w:numId="33" w16cid:durableId="518934981">
    <w:abstractNumId w:val="8"/>
  </w:num>
  <w:num w:numId="34" w16cid:durableId="351802624">
    <w:abstractNumId w:val="6"/>
  </w:num>
  <w:num w:numId="35" w16cid:durableId="2045134543">
    <w:abstractNumId w:val="33"/>
  </w:num>
  <w:num w:numId="36" w16cid:durableId="343557398">
    <w:abstractNumId w:val="30"/>
  </w:num>
  <w:num w:numId="37" w16cid:durableId="1263495324">
    <w:abstractNumId w:val="14"/>
  </w:num>
  <w:num w:numId="38" w16cid:durableId="1194077715">
    <w:abstractNumId w:val="20"/>
  </w:num>
  <w:num w:numId="39" w16cid:durableId="1739280584">
    <w:abstractNumId w:val="16"/>
  </w:num>
  <w:num w:numId="40" w16cid:durableId="56754211">
    <w:abstractNumId w:val="27"/>
  </w:num>
  <w:num w:numId="41" w16cid:durableId="2057272622">
    <w:abstractNumId w:val="31"/>
  </w:num>
  <w:num w:numId="42" w16cid:durableId="680206702">
    <w:abstractNumId w:val="37"/>
  </w:num>
  <w:num w:numId="43" w16cid:durableId="2072146449">
    <w:abstractNumId w:val="24"/>
  </w:num>
  <w:num w:numId="44" w16cid:durableId="222329092">
    <w:abstractNumId w:val="34"/>
  </w:num>
  <w:num w:numId="45" w16cid:durableId="51852517">
    <w:abstractNumId w:val="3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6"/>
  <w:hyphenationZone w:val="425"/>
  <w:drawingGridHorizontalSpacing w:val="16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01D"/>
    <w:rsid w:val="00001597"/>
    <w:rsid w:val="00002665"/>
    <w:rsid w:val="000047FF"/>
    <w:rsid w:val="00006CE8"/>
    <w:rsid w:val="00012E3A"/>
    <w:rsid w:val="0001376F"/>
    <w:rsid w:val="00013E43"/>
    <w:rsid w:val="00014A14"/>
    <w:rsid w:val="000211AF"/>
    <w:rsid w:val="00031B74"/>
    <w:rsid w:val="00035D72"/>
    <w:rsid w:val="0004168B"/>
    <w:rsid w:val="00041A98"/>
    <w:rsid w:val="00045E0E"/>
    <w:rsid w:val="0004768C"/>
    <w:rsid w:val="00047967"/>
    <w:rsid w:val="00050C72"/>
    <w:rsid w:val="00053E15"/>
    <w:rsid w:val="00055427"/>
    <w:rsid w:val="000554CF"/>
    <w:rsid w:val="00063312"/>
    <w:rsid w:val="00063C09"/>
    <w:rsid w:val="0006526C"/>
    <w:rsid w:val="00065735"/>
    <w:rsid w:val="000672A7"/>
    <w:rsid w:val="00067418"/>
    <w:rsid w:val="00070AE5"/>
    <w:rsid w:val="000714D1"/>
    <w:rsid w:val="00072AF1"/>
    <w:rsid w:val="00073F4A"/>
    <w:rsid w:val="000750BE"/>
    <w:rsid w:val="00076C3D"/>
    <w:rsid w:val="0007782A"/>
    <w:rsid w:val="00077942"/>
    <w:rsid w:val="00083CDC"/>
    <w:rsid w:val="00084574"/>
    <w:rsid w:val="000855E4"/>
    <w:rsid w:val="000865A4"/>
    <w:rsid w:val="000906A5"/>
    <w:rsid w:val="0009149B"/>
    <w:rsid w:val="0009239C"/>
    <w:rsid w:val="000A1E17"/>
    <w:rsid w:val="000B0EBD"/>
    <w:rsid w:val="000B32D9"/>
    <w:rsid w:val="000B420D"/>
    <w:rsid w:val="000B4CDB"/>
    <w:rsid w:val="000B56A8"/>
    <w:rsid w:val="000B60EA"/>
    <w:rsid w:val="000B668A"/>
    <w:rsid w:val="000B7C61"/>
    <w:rsid w:val="000C1103"/>
    <w:rsid w:val="000C2E82"/>
    <w:rsid w:val="000C54F9"/>
    <w:rsid w:val="000C713E"/>
    <w:rsid w:val="000C7711"/>
    <w:rsid w:val="000D05B0"/>
    <w:rsid w:val="000D287D"/>
    <w:rsid w:val="000D39A0"/>
    <w:rsid w:val="000D457B"/>
    <w:rsid w:val="000D6A14"/>
    <w:rsid w:val="000E10D3"/>
    <w:rsid w:val="000E1F50"/>
    <w:rsid w:val="000E2765"/>
    <w:rsid w:val="000E2CAC"/>
    <w:rsid w:val="000E5D64"/>
    <w:rsid w:val="000F0430"/>
    <w:rsid w:val="00100B0F"/>
    <w:rsid w:val="001037A6"/>
    <w:rsid w:val="00105A96"/>
    <w:rsid w:val="00107F8B"/>
    <w:rsid w:val="0011546B"/>
    <w:rsid w:val="001244EF"/>
    <w:rsid w:val="00124C98"/>
    <w:rsid w:val="00125135"/>
    <w:rsid w:val="0012701B"/>
    <w:rsid w:val="00130FA2"/>
    <w:rsid w:val="00131DF8"/>
    <w:rsid w:val="0013417D"/>
    <w:rsid w:val="001347BD"/>
    <w:rsid w:val="001362B7"/>
    <w:rsid w:val="00136869"/>
    <w:rsid w:val="00136EFB"/>
    <w:rsid w:val="001417CB"/>
    <w:rsid w:val="0014346E"/>
    <w:rsid w:val="00143F3F"/>
    <w:rsid w:val="00145B6E"/>
    <w:rsid w:val="00145BEE"/>
    <w:rsid w:val="001513E0"/>
    <w:rsid w:val="001517E4"/>
    <w:rsid w:val="00156FE7"/>
    <w:rsid w:val="00160F13"/>
    <w:rsid w:val="001650E5"/>
    <w:rsid w:val="0017344C"/>
    <w:rsid w:val="00173FA0"/>
    <w:rsid w:val="001744DC"/>
    <w:rsid w:val="001747EA"/>
    <w:rsid w:val="00177D6E"/>
    <w:rsid w:val="0018069C"/>
    <w:rsid w:val="00181BD5"/>
    <w:rsid w:val="00182941"/>
    <w:rsid w:val="00182EA2"/>
    <w:rsid w:val="00186034"/>
    <w:rsid w:val="00187810"/>
    <w:rsid w:val="001912A3"/>
    <w:rsid w:val="00196323"/>
    <w:rsid w:val="001970FE"/>
    <w:rsid w:val="00197C68"/>
    <w:rsid w:val="001A07C1"/>
    <w:rsid w:val="001A100E"/>
    <w:rsid w:val="001A162C"/>
    <w:rsid w:val="001A249F"/>
    <w:rsid w:val="001A3390"/>
    <w:rsid w:val="001A36A4"/>
    <w:rsid w:val="001A43E5"/>
    <w:rsid w:val="001A53F5"/>
    <w:rsid w:val="001A5A47"/>
    <w:rsid w:val="001B2313"/>
    <w:rsid w:val="001B4D62"/>
    <w:rsid w:val="001B4E5E"/>
    <w:rsid w:val="001B639E"/>
    <w:rsid w:val="001B7B3B"/>
    <w:rsid w:val="001C00F1"/>
    <w:rsid w:val="001C163D"/>
    <w:rsid w:val="001C68FE"/>
    <w:rsid w:val="001C69A7"/>
    <w:rsid w:val="001C713A"/>
    <w:rsid w:val="001C7E1C"/>
    <w:rsid w:val="001D1291"/>
    <w:rsid w:val="001D23DA"/>
    <w:rsid w:val="001D39DF"/>
    <w:rsid w:val="001D4518"/>
    <w:rsid w:val="001D7E94"/>
    <w:rsid w:val="001E054F"/>
    <w:rsid w:val="001E1015"/>
    <w:rsid w:val="001E2B08"/>
    <w:rsid w:val="001E42DC"/>
    <w:rsid w:val="001F2152"/>
    <w:rsid w:val="001F2A90"/>
    <w:rsid w:val="001F4767"/>
    <w:rsid w:val="001F6E45"/>
    <w:rsid w:val="001F7853"/>
    <w:rsid w:val="00200226"/>
    <w:rsid w:val="00201BE2"/>
    <w:rsid w:val="0020462B"/>
    <w:rsid w:val="00205F96"/>
    <w:rsid w:val="0020645D"/>
    <w:rsid w:val="00206FD8"/>
    <w:rsid w:val="00207040"/>
    <w:rsid w:val="00216C93"/>
    <w:rsid w:val="00217314"/>
    <w:rsid w:val="002251F1"/>
    <w:rsid w:val="00225AB9"/>
    <w:rsid w:val="00225F85"/>
    <w:rsid w:val="00230D1B"/>
    <w:rsid w:val="00234991"/>
    <w:rsid w:val="00235E86"/>
    <w:rsid w:val="002376EE"/>
    <w:rsid w:val="002377D6"/>
    <w:rsid w:val="00241E87"/>
    <w:rsid w:val="002438C2"/>
    <w:rsid w:val="002455F9"/>
    <w:rsid w:val="00245922"/>
    <w:rsid w:val="00246A20"/>
    <w:rsid w:val="00246C97"/>
    <w:rsid w:val="00253DE3"/>
    <w:rsid w:val="00255F94"/>
    <w:rsid w:val="0025748C"/>
    <w:rsid w:val="00260226"/>
    <w:rsid w:val="00260533"/>
    <w:rsid w:val="00262824"/>
    <w:rsid w:val="00265E24"/>
    <w:rsid w:val="002663B1"/>
    <w:rsid w:val="00266729"/>
    <w:rsid w:val="00274887"/>
    <w:rsid w:val="002764AA"/>
    <w:rsid w:val="002805CD"/>
    <w:rsid w:val="00280FC6"/>
    <w:rsid w:val="00281ED1"/>
    <w:rsid w:val="00282861"/>
    <w:rsid w:val="00282DB3"/>
    <w:rsid w:val="00283DC1"/>
    <w:rsid w:val="00284C6D"/>
    <w:rsid w:val="00286A36"/>
    <w:rsid w:val="002924EC"/>
    <w:rsid w:val="0029373F"/>
    <w:rsid w:val="00295315"/>
    <w:rsid w:val="0029556E"/>
    <w:rsid w:val="0029597A"/>
    <w:rsid w:val="0029748A"/>
    <w:rsid w:val="002A0806"/>
    <w:rsid w:val="002A111B"/>
    <w:rsid w:val="002A18FD"/>
    <w:rsid w:val="002A252B"/>
    <w:rsid w:val="002A4B17"/>
    <w:rsid w:val="002B006C"/>
    <w:rsid w:val="002B09B9"/>
    <w:rsid w:val="002B2979"/>
    <w:rsid w:val="002B2B9A"/>
    <w:rsid w:val="002B2FAD"/>
    <w:rsid w:val="002B3CED"/>
    <w:rsid w:val="002B47EB"/>
    <w:rsid w:val="002B4965"/>
    <w:rsid w:val="002B4BD2"/>
    <w:rsid w:val="002B4ECC"/>
    <w:rsid w:val="002B4FF0"/>
    <w:rsid w:val="002B5F24"/>
    <w:rsid w:val="002B654F"/>
    <w:rsid w:val="002B7045"/>
    <w:rsid w:val="002B7C9A"/>
    <w:rsid w:val="002C0298"/>
    <w:rsid w:val="002C2247"/>
    <w:rsid w:val="002C3E77"/>
    <w:rsid w:val="002C7BE2"/>
    <w:rsid w:val="002D0955"/>
    <w:rsid w:val="002D1A47"/>
    <w:rsid w:val="002D22C6"/>
    <w:rsid w:val="002D3FC8"/>
    <w:rsid w:val="002D473B"/>
    <w:rsid w:val="002D47B8"/>
    <w:rsid w:val="002D51E3"/>
    <w:rsid w:val="002D6124"/>
    <w:rsid w:val="002D6F77"/>
    <w:rsid w:val="002D7942"/>
    <w:rsid w:val="002E0AA0"/>
    <w:rsid w:val="002E1A28"/>
    <w:rsid w:val="002E3B45"/>
    <w:rsid w:val="002E5308"/>
    <w:rsid w:val="002E796A"/>
    <w:rsid w:val="002F1A35"/>
    <w:rsid w:val="002F28D4"/>
    <w:rsid w:val="002F6300"/>
    <w:rsid w:val="002F6391"/>
    <w:rsid w:val="002F7C86"/>
    <w:rsid w:val="00301932"/>
    <w:rsid w:val="003022A1"/>
    <w:rsid w:val="003039CA"/>
    <w:rsid w:val="003039FA"/>
    <w:rsid w:val="00306F0E"/>
    <w:rsid w:val="00307208"/>
    <w:rsid w:val="00307FAC"/>
    <w:rsid w:val="003108E4"/>
    <w:rsid w:val="00311DE8"/>
    <w:rsid w:val="00312192"/>
    <w:rsid w:val="00312BF9"/>
    <w:rsid w:val="00314196"/>
    <w:rsid w:val="00314506"/>
    <w:rsid w:val="0031637C"/>
    <w:rsid w:val="0032407D"/>
    <w:rsid w:val="003342CC"/>
    <w:rsid w:val="00341316"/>
    <w:rsid w:val="003422AB"/>
    <w:rsid w:val="0034623E"/>
    <w:rsid w:val="003569F2"/>
    <w:rsid w:val="0035700E"/>
    <w:rsid w:val="003571CB"/>
    <w:rsid w:val="00357BA9"/>
    <w:rsid w:val="00362F4A"/>
    <w:rsid w:val="00365F00"/>
    <w:rsid w:val="00374BA2"/>
    <w:rsid w:val="00374D09"/>
    <w:rsid w:val="00375AF6"/>
    <w:rsid w:val="00375D47"/>
    <w:rsid w:val="00375E2B"/>
    <w:rsid w:val="00377810"/>
    <w:rsid w:val="00377943"/>
    <w:rsid w:val="00383029"/>
    <w:rsid w:val="003835B8"/>
    <w:rsid w:val="003862B0"/>
    <w:rsid w:val="00390870"/>
    <w:rsid w:val="0039719E"/>
    <w:rsid w:val="003A00AA"/>
    <w:rsid w:val="003A38F4"/>
    <w:rsid w:val="003A3B2E"/>
    <w:rsid w:val="003A41B9"/>
    <w:rsid w:val="003A4E6E"/>
    <w:rsid w:val="003A6C6F"/>
    <w:rsid w:val="003A789E"/>
    <w:rsid w:val="003A7E7C"/>
    <w:rsid w:val="003B05C3"/>
    <w:rsid w:val="003B1EF4"/>
    <w:rsid w:val="003B6111"/>
    <w:rsid w:val="003B61A2"/>
    <w:rsid w:val="003B71AB"/>
    <w:rsid w:val="003B7AFB"/>
    <w:rsid w:val="003B7C27"/>
    <w:rsid w:val="003C0C74"/>
    <w:rsid w:val="003C3331"/>
    <w:rsid w:val="003C4401"/>
    <w:rsid w:val="003D338B"/>
    <w:rsid w:val="003D549A"/>
    <w:rsid w:val="003D74F6"/>
    <w:rsid w:val="003E291D"/>
    <w:rsid w:val="003E3752"/>
    <w:rsid w:val="003E39DD"/>
    <w:rsid w:val="003E3F35"/>
    <w:rsid w:val="003E5C5C"/>
    <w:rsid w:val="003E6C69"/>
    <w:rsid w:val="003F0BCD"/>
    <w:rsid w:val="003F14EA"/>
    <w:rsid w:val="003F5930"/>
    <w:rsid w:val="00402B60"/>
    <w:rsid w:val="0041144A"/>
    <w:rsid w:val="004114D6"/>
    <w:rsid w:val="004152BE"/>
    <w:rsid w:val="004155CD"/>
    <w:rsid w:val="004210A5"/>
    <w:rsid w:val="004214AE"/>
    <w:rsid w:val="0042161F"/>
    <w:rsid w:val="00424EC6"/>
    <w:rsid w:val="0042608F"/>
    <w:rsid w:val="00431B6B"/>
    <w:rsid w:val="004327B9"/>
    <w:rsid w:val="00432806"/>
    <w:rsid w:val="0043481D"/>
    <w:rsid w:val="00437174"/>
    <w:rsid w:val="0044008B"/>
    <w:rsid w:val="00440220"/>
    <w:rsid w:val="00440940"/>
    <w:rsid w:val="00441248"/>
    <w:rsid w:val="00442227"/>
    <w:rsid w:val="004439F5"/>
    <w:rsid w:val="00444F1D"/>
    <w:rsid w:val="00446553"/>
    <w:rsid w:val="004475ED"/>
    <w:rsid w:val="004512DD"/>
    <w:rsid w:val="00455C40"/>
    <w:rsid w:val="00456F2F"/>
    <w:rsid w:val="00457014"/>
    <w:rsid w:val="004616AA"/>
    <w:rsid w:val="004616F6"/>
    <w:rsid w:val="004617F0"/>
    <w:rsid w:val="00461858"/>
    <w:rsid w:val="00465672"/>
    <w:rsid w:val="00465869"/>
    <w:rsid w:val="00465A23"/>
    <w:rsid w:val="00467ED8"/>
    <w:rsid w:val="00471FA3"/>
    <w:rsid w:val="004750DE"/>
    <w:rsid w:val="00475BA3"/>
    <w:rsid w:val="004768AB"/>
    <w:rsid w:val="00476E54"/>
    <w:rsid w:val="004776C0"/>
    <w:rsid w:val="00477E94"/>
    <w:rsid w:val="0048132B"/>
    <w:rsid w:val="004830D9"/>
    <w:rsid w:val="00483B53"/>
    <w:rsid w:val="00487096"/>
    <w:rsid w:val="00487A24"/>
    <w:rsid w:val="00487BFC"/>
    <w:rsid w:val="00492477"/>
    <w:rsid w:val="004941BE"/>
    <w:rsid w:val="00496A86"/>
    <w:rsid w:val="004A2062"/>
    <w:rsid w:val="004A2CA3"/>
    <w:rsid w:val="004A525F"/>
    <w:rsid w:val="004A5ECE"/>
    <w:rsid w:val="004A60C0"/>
    <w:rsid w:val="004B0D3F"/>
    <w:rsid w:val="004B13A5"/>
    <w:rsid w:val="004B3B00"/>
    <w:rsid w:val="004B56E7"/>
    <w:rsid w:val="004B7663"/>
    <w:rsid w:val="004C0E42"/>
    <w:rsid w:val="004C0ED2"/>
    <w:rsid w:val="004C0FB1"/>
    <w:rsid w:val="004C470D"/>
    <w:rsid w:val="004C7FB2"/>
    <w:rsid w:val="004D58DA"/>
    <w:rsid w:val="004D65B5"/>
    <w:rsid w:val="004D7077"/>
    <w:rsid w:val="004E065A"/>
    <w:rsid w:val="004E17D5"/>
    <w:rsid w:val="004E1CC7"/>
    <w:rsid w:val="004E3A12"/>
    <w:rsid w:val="004E3AB4"/>
    <w:rsid w:val="004E3FF2"/>
    <w:rsid w:val="004E4601"/>
    <w:rsid w:val="004E6241"/>
    <w:rsid w:val="004E7618"/>
    <w:rsid w:val="004F0A37"/>
    <w:rsid w:val="004F11AA"/>
    <w:rsid w:val="004F3EB7"/>
    <w:rsid w:val="004F4362"/>
    <w:rsid w:val="004F4AEE"/>
    <w:rsid w:val="004F4CD3"/>
    <w:rsid w:val="004F5D25"/>
    <w:rsid w:val="004F7F78"/>
    <w:rsid w:val="00500FC7"/>
    <w:rsid w:val="00504000"/>
    <w:rsid w:val="00510E05"/>
    <w:rsid w:val="00511430"/>
    <w:rsid w:val="00513BD5"/>
    <w:rsid w:val="00515017"/>
    <w:rsid w:val="005150B3"/>
    <w:rsid w:val="00516A34"/>
    <w:rsid w:val="00517958"/>
    <w:rsid w:val="0052149E"/>
    <w:rsid w:val="00522902"/>
    <w:rsid w:val="00526F54"/>
    <w:rsid w:val="00532D0F"/>
    <w:rsid w:val="00533ADC"/>
    <w:rsid w:val="005350CA"/>
    <w:rsid w:val="00536999"/>
    <w:rsid w:val="00537CA3"/>
    <w:rsid w:val="0054205F"/>
    <w:rsid w:val="005425F3"/>
    <w:rsid w:val="00544109"/>
    <w:rsid w:val="0054653D"/>
    <w:rsid w:val="00547A0B"/>
    <w:rsid w:val="00551168"/>
    <w:rsid w:val="00551B4B"/>
    <w:rsid w:val="00553F68"/>
    <w:rsid w:val="00555011"/>
    <w:rsid w:val="00557E85"/>
    <w:rsid w:val="0056044F"/>
    <w:rsid w:val="00563B04"/>
    <w:rsid w:val="0056619A"/>
    <w:rsid w:val="0057176E"/>
    <w:rsid w:val="00572953"/>
    <w:rsid w:val="0057297D"/>
    <w:rsid w:val="00573D03"/>
    <w:rsid w:val="00575711"/>
    <w:rsid w:val="00577EC4"/>
    <w:rsid w:val="0058004E"/>
    <w:rsid w:val="005811B2"/>
    <w:rsid w:val="00582CF2"/>
    <w:rsid w:val="00582D15"/>
    <w:rsid w:val="0058372E"/>
    <w:rsid w:val="005840FF"/>
    <w:rsid w:val="005851C8"/>
    <w:rsid w:val="0058669D"/>
    <w:rsid w:val="0058673C"/>
    <w:rsid w:val="0059341A"/>
    <w:rsid w:val="00593A8A"/>
    <w:rsid w:val="00595069"/>
    <w:rsid w:val="0059557F"/>
    <w:rsid w:val="00595A80"/>
    <w:rsid w:val="00595CB2"/>
    <w:rsid w:val="005A4CB4"/>
    <w:rsid w:val="005A5923"/>
    <w:rsid w:val="005B1A90"/>
    <w:rsid w:val="005B4068"/>
    <w:rsid w:val="005B597D"/>
    <w:rsid w:val="005B5A79"/>
    <w:rsid w:val="005C3F45"/>
    <w:rsid w:val="005C535B"/>
    <w:rsid w:val="005C56C7"/>
    <w:rsid w:val="005C6C3A"/>
    <w:rsid w:val="005C7120"/>
    <w:rsid w:val="005D0A19"/>
    <w:rsid w:val="005D10C6"/>
    <w:rsid w:val="005D1693"/>
    <w:rsid w:val="005D22DD"/>
    <w:rsid w:val="005D3ADE"/>
    <w:rsid w:val="005D3EA5"/>
    <w:rsid w:val="005D4B7E"/>
    <w:rsid w:val="005D51A3"/>
    <w:rsid w:val="005D59AE"/>
    <w:rsid w:val="005D7254"/>
    <w:rsid w:val="005E25F1"/>
    <w:rsid w:val="005E2CEF"/>
    <w:rsid w:val="005E38AE"/>
    <w:rsid w:val="005E3AC6"/>
    <w:rsid w:val="005E4DE4"/>
    <w:rsid w:val="005E5FD4"/>
    <w:rsid w:val="005E62C3"/>
    <w:rsid w:val="005E6CAD"/>
    <w:rsid w:val="005F3859"/>
    <w:rsid w:val="005F3CF3"/>
    <w:rsid w:val="00600B85"/>
    <w:rsid w:val="00602C07"/>
    <w:rsid w:val="0060480D"/>
    <w:rsid w:val="0060670D"/>
    <w:rsid w:val="00607329"/>
    <w:rsid w:val="00607743"/>
    <w:rsid w:val="00613FC2"/>
    <w:rsid w:val="0061515A"/>
    <w:rsid w:val="00615578"/>
    <w:rsid w:val="006225AC"/>
    <w:rsid w:val="00623817"/>
    <w:rsid w:val="00623BCF"/>
    <w:rsid w:val="00624D6E"/>
    <w:rsid w:val="006265CE"/>
    <w:rsid w:val="00626DB4"/>
    <w:rsid w:val="00627233"/>
    <w:rsid w:val="0062742A"/>
    <w:rsid w:val="00630E55"/>
    <w:rsid w:val="0063429A"/>
    <w:rsid w:val="00643063"/>
    <w:rsid w:val="006434FA"/>
    <w:rsid w:val="00644B30"/>
    <w:rsid w:val="0064659A"/>
    <w:rsid w:val="00646ED0"/>
    <w:rsid w:val="00650346"/>
    <w:rsid w:val="00652C47"/>
    <w:rsid w:val="00660D90"/>
    <w:rsid w:val="00663EC5"/>
    <w:rsid w:val="00674B25"/>
    <w:rsid w:val="00676F00"/>
    <w:rsid w:val="00681482"/>
    <w:rsid w:val="00681995"/>
    <w:rsid w:val="0068241D"/>
    <w:rsid w:val="0068541B"/>
    <w:rsid w:val="006859A2"/>
    <w:rsid w:val="00686513"/>
    <w:rsid w:val="006904BA"/>
    <w:rsid w:val="00691197"/>
    <w:rsid w:val="00691DF5"/>
    <w:rsid w:val="00695C4C"/>
    <w:rsid w:val="006A2DA7"/>
    <w:rsid w:val="006A2DDB"/>
    <w:rsid w:val="006A42A4"/>
    <w:rsid w:val="006A6A60"/>
    <w:rsid w:val="006B1235"/>
    <w:rsid w:val="006B2AD8"/>
    <w:rsid w:val="006B3645"/>
    <w:rsid w:val="006B46E2"/>
    <w:rsid w:val="006B55F3"/>
    <w:rsid w:val="006B61F4"/>
    <w:rsid w:val="006B7927"/>
    <w:rsid w:val="006B7D11"/>
    <w:rsid w:val="006C0AE2"/>
    <w:rsid w:val="006C6504"/>
    <w:rsid w:val="006C750A"/>
    <w:rsid w:val="006C7D8B"/>
    <w:rsid w:val="006D101C"/>
    <w:rsid w:val="006D1E95"/>
    <w:rsid w:val="006D2E0F"/>
    <w:rsid w:val="006D5170"/>
    <w:rsid w:val="006D563B"/>
    <w:rsid w:val="006D5880"/>
    <w:rsid w:val="006D7DD9"/>
    <w:rsid w:val="006E01C3"/>
    <w:rsid w:val="006E2B21"/>
    <w:rsid w:val="006E4175"/>
    <w:rsid w:val="006E46A0"/>
    <w:rsid w:val="006E50BA"/>
    <w:rsid w:val="006E6BE4"/>
    <w:rsid w:val="006F6CD2"/>
    <w:rsid w:val="00701770"/>
    <w:rsid w:val="007020DE"/>
    <w:rsid w:val="00702B57"/>
    <w:rsid w:val="007031E9"/>
    <w:rsid w:val="00704C7E"/>
    <w:rsid w:val="00706419"/>
    <w:rsid w:val="007069B5"/>
    <w:rsid w:val="00707500"/>
    <w:rsid w:val="00710B2C"/>
    <w:rsid w:val="007173B1"/>
    <w:rsid w:val="00721545"/>
    <w:rsid w:val="00722A19"/>
    <w:rsid w:val="00724780"/>
    <w:rsid w:val="007248BA"/>
    <w:rsid w:val="00726606"/>
    <w:rsid w:val="007274BC"/>
    <w:rsid w:val="00731482"/>
    <w:rsid w:val="007351EB"/>
    <w:rsid w:val="00735721"/>
    <w:rsid w:val="00736203"/>
    <w:rsid w:val="00736961"/>
    <w:rsid w:val="0073783F"/>
    <w:rsid w:val="007427AA"/>
    <w:rsid w:val="00745A0B"/>
    <w:rsid w:val="00746D76"/>
    <w:rsid w:val="00750936"/>
    <w:rsid w:val="00751B89"/>
    <w:rsid w:val="0075240A"/>
    <w:rsid w:val="00752473"/>
    <w:rsid w:val="0075271A"/>
    <w:rsid w:val="00752D5B"/>
    <w:rsid w:val="00753D6B"/>
    <w:rsid w:val="007559AD"/>
    <w:rsid w:val="00755E3B"/>
    <w:rsid w:val="007569B5"/>
    <w:rsid w:val="00763A92"/>
    <w:rsid w:val="00764B12"/>
    <w:rsid w:val="00764E26"/>
    <w:rsid w:val="007657B8"/>
    <w:rsid w:val="00767272"/>
    <w:rsid w:val="007705B8"/>
    <w:rsid w:val="00772EA1"/>
    <w:rsid w:val="007740BB"/>
    <w:rsid w:val="007749A9"/>
    <w:rsid w:val="00774B92"/>
    <w:rsid w:val="007805C5"/>
    <w:rsid w:val="007843F5"/>
    <w:rsid w:val="00784B46"/>
    <w:rsid w:val="00785CCC"/>
    <w:rsid w:val="00785FC1"/>
    <w:rsid w:val="0078720F"/>
    <w:rsid w:val="00792466"/>
    <w:rsid w:val="0079362C"/>
    <w:rsid w:val="00794DC0"/>
    <w:rsid w:val="007977EA"/>
    <w:rsid w:val="007A20BD"/>
    <w:rsid w:val="007A2C73"/>
    <w:rsid w:val="007A6681"/>
    <w:rsid w:val="007A691F"/>
    <w:rsid w:val="007B0489"/>
    <w:rsid w:val="007B1DED"/>
    <w:rsid w:val="007C2A33"/>
    <w:rsid w:val="007C691B"/>
    <w:rsid w:val="007D0462"/>
    <w:rsid w:val="007D2177"/>
    <w:rsid w:val="007D4879"/>
    <w:rsid w:val="007D56F8"/>
    <w:rsid w:val="007D734B"/>
    <w:rsid w:val="007E590C"/>
    <w:rsid w:val="007E640D"/>
    <w:rsid w:val="007E6604"/>
    <w:rsid w:val="007F0083"/>
    <w:rsid w:val="007F00F3"/>
    <w:rsid w:val="007F5E2A"/>
    <w:rsid w:val="00800789"/>
    <w:rsid w:val="00811A11"/>
    <w:rsid w:val="00813587"/>
    <w:rsid w:val="00813669"/>
    <w:rsid w:val="008171BE"/>
    <w:rsid w:val="0081743D"/>
    <w:rsid w:val="00817EEC"/>
    <w:rsid w:val="0082229E"/>
    <w:rsid w:val="00822FAD"/>
    <w:rsid w:val="00824365"/>
    <w:rsid w:val="00831413"/>
    <w:rsid w:val="008322FD"/>
    <w:rsid w:val="00835727"/>
    <w:rsid w:val="00835B67"/>
    <w:rsid w:val="00836701"/>
    <w:rsid w:val="0083742B"/>
    <w:rsid w:val="00852527"/>
    <w:rsid w:val="00852990"/>
    <w:rsid w:val="00852C00"/>
    <w:rsid w:val="00853DDE"/>
    <w:rsid w:val="00853ED0"/>
    <w:rsid w:val="008545FE"/>
    <w:rsid w:val="008547F5"/>
    <w:rsid w:val="008611BC"/>
    <w:rsid w:val="008614D0"/>
    <w:rsid w:val="00861C57"/>
    <w:rsid w:val="0086212B"/>
    <w:rsid w:val="008644F6"/>
    <w:rsid w:val="0086554A"/>
    <w:rsid w:val="0086668F"/>
    <w:rsid w:val="0087037A"/>
    <w:rsid w:val="008745C7"/>
    <w:rsid w:val="008749AF"/>
    <w:rsid w:val="0087690B"/>
    <w:rsid w:val="00877082"/>
    <w:rsid w:val="008828AF"/>
    <w:rsid w:val="00883260"/>
    <w:rsid w:val="00885709"/>
    <w:rsid w:val="0088601D"/>
    <w:rsid w:val="00886195"/>
    <w:rsid w:val="0089402A"/>
    <w:rsid w:val="00897D61"/>
    <w:rsid w:val="008A0099"/>
    <w:rsid w:val="008A1737"/>
    <w:rsid w:val="008A1A46"/>
    <w:rsid w:val="008A2551"/>
    <w:rsid w:val="008A3EA0"/>
    <w:rsid w:val="008A4FFE"/>
    <w:rsid w:val="008A51D3"/>
    <w:rsid w:val="008A7491"/>
    <w:rsid w:val="008B06DB"/>
    <w:rsid w:val="008B10D8"/>
    <w:rsid w:val="008B3359"/>
    <w:rsid w:val="008B40E6"/>
    <w:rsid w:val="008B7624"/>
    <w:rsid w:val="008C0729"/>
    <w:rsid w:val="008C2928"/>
    <w:rsid w:val="008C65CF"/>
    <w:rsid w:val="008C74EE"/>
    <w:rsid w:val="008D2744"/>
    <w:rsid w:val="008D5893"/>
    <w:rsid w:val="008D61B4"/>
    <w:rsid w:val="008E0044"/>
    <w:rsid w:val="008E030A"/>
    <w:rsid w:val="008E0A28"/>
    <w:rsid w:val="008E1303"/>
    <w:rsid w:val="008E2490"/>
    <w:rsid w:val="008E41BB"/>
    <w:rsid w:val="008E591F"/>
    <w:rsid w:val="008E73CA"/>
    <w:rsid w:val="008F0CB2"/>
    <w:rsid w:val="008F5159"/>
    <w:rsid w:val="008F5F11"/>
    <w:rsid w:val="008F7565"/>
    <w:rsid w:val="00901486"/>
    <w:rsid w:val="00904124"/>
    <w:rsid w:val="00904788"/>
    <w:rsid w:val="00906D38"/>
    <w:rsid w:val="009112A5"/>
    <w:rsid w:val="00915637"/>
    <w:rsid w:val="009169FE"/>
    <w:rsid w:val="009174E8"/>
    <w:rsid w:val="00917F6C"/>
    <w:rsid w:val="00921281"/>
    <w:rsid w:val="00922D82"/>
    <w:rsid w:val="009231E9"/>
    <w:rsid w:val="0092338B"/>
    <w:rsid w:val="009233E9"/>
    <w:rsid w:val="00923750"/>
    <w:rsid w:val="00924AB7"/>
    <w:rsid w:val="00925325"/>
    <w:rsid w:val="0092543A"/>
    <w:rsid w:val="00925863"/>
    <w:rsid w:val="0092759E"/>
    <w:rsid w:val="00927F2B"/>
    <w:rsid w:val="00936072"/>
    <w:rsid w:val="0093760E"/>
    <w:rsid w:val="009377FC"/>
    <w:rsid w:val="009379AF"/>
    <w:rsid w:val="009444A4"/>
    <w:rsid w:val="009470E3"/>
    <w:rsid w:val="00947ECA"/>
    <w:rsid w:val="009509DD"/>
    <w:rsid w:val="0095173E"/>
    <w:rsid w:val="00955CF7"/>
    <w:rsid w:val="00956AFE"/>
    <w:rsid w:val="00957E3C"/>
    <w:rsid w:val="00962698"/>
    <w:rsid w:val="00963231"/>
    <w:rsid w:val="00966675"/>
    <w:rsid w:val="009703F9"/>
    <w:rsid w:val="00972C41"/>
    <w:rsid w:val="00973115"/>
    <w:rsid w:val="009734CD"/>
    <w:rsid w:val="009762A0"/>
    <w:rsid w:val="009763E2"/>
    <w:rsid w:val="009774C2"/>
    <w:rsid w:val="009777CA"/>
    <w:rsid w:val="009804D0"/>
    <w:rsid w:val="00982AFC"/>
    <w:rsid w:val="00983F10"/>
    <w:rsid w:val="009845B8"/>
    <w:rsid w:val="00986DF6"/>
    <w:rsid w:val="00986FB7"/>
    <w:rsid w:val="00987247"/>
    <w:rsid w:val="0099320B"/>
    <w:rsid w:val="009934CD"/>
    <w:rsid w:val="00993B9F"/>
    <w:rsid w:val="009A122A"/>
    <w:rsid w:val="009A272C"/>
    <w:rsid w:val="009A7958"/>
    <w:rsid w:val="009B1C9C"/>
    <w:rsid w:val="009B2B3B"/>
    <w:rsid w:val="009B2E12"/>
    <w:rsid w:val="009B49C8"/>
    <w:rsid w:val="009B679E"/>
    <w:rsid w:val="009C003C"/>
    <w:rsid w:val="009C3AB6"/>
    <w:rsid w:val="009C46B6"/>
    <w:rsid w:val="009C5471"/>
    <w:rsid w:val="009D0021"/>
    <w:rsid w:val="009D4CBA"/>
    <w:rsid w:val="009D5BC3"/>
    <w:rsid w:val="009D5EFE"/>
    <w:rsid w:val="009D667B"/>
    <w:rsid w:val="009D715D"/>
    <w:rsid w:val="009E4AB0"/>
    <w:rsid w:val="009E540B"/>
    <w:rsid w:val="009E5428"/>
    <w:rsid w:val="009E6230"/>
    <w:rsid w:val="009F0636"/>
    <w:rsid w:val="009F0D9B"/>
    <w:rsid w:val="009F3712"/>
    <w:rsid w:val="009F4B5E"/>
    <w:rsid w:val="009F6D09"/>
    <w:rsid w:val="00A00522"/>
    <w:rsid w:val="00A027BB"/>
    <w:rsid w:val="00A05CD5"/>
    <w:rsid w:val="00A05D09"/>
    <w:rsid w:val="00A1167B"/>
    <w:rsid w:val="00A11BB6"/>
    <w:rsid w:val="00A1237A"/>
    <w:rsid w:val="00A15C20"/>
    <w:rsid w:val="00A20E65"/>
    <w:rsid w:val="00A21551"/>
    <w:rsid w:val="00A22C52"/>
    <w:rsid w:val="00A238D8"/>
    <w:rsid w:val="00A23A40"/>
    <w:rsid w:val="00A2423D"/>
    <w:rsid w:val="00A25402"/>
    <w:rsid w:val="00A268A1"/>
    <w:rsid w:val="00A351AD"/>
    <w:rsid w:val="00A3532A"/>
    <w:rsid w:val="00A40A49"/>
    <w:rsid w:val="00A42550"/>
    <w:rsid w:val="00A4494A"/>
    <w:rsid w:val="00A51EE3"/>
    <w:rsid w:val="00A55DEB"/>
    <w:rsid w:val="00A63D37"/>
    <w:rsid w:val="00A6426A"/>
    <w:rsid w:val="00A653F4"/>
    <w:rsid w:val="00A66174"/>
    <w:rsid w:val="00A73456"/>
    <w:rsid w:val="00A76BC7"/>
    <w:rsid w:val="00A770D9"/>
    <w:rsid w:val="00A81A03"/>
    <w:rsid w:val="00A832CB"/>
    <w:rsid w:val="00A862FD"/>
    <w:rsid w:val="00A86AE0"/>
    <w:rsid w:val="00A86D46"/>
    <w:rsid w:val="00A8758B"/>
    <w:rsid w:val="00A87F4A"/>
    <w:rsid w:val="00A92B51"/>
    <w:rsid w:val="00A93DC6"/>
    <w:rsid w:val="00A9480F"/>
    <w:rsid w:val="00A95826"/>
    <w:rsid w:val="00AA52DB"/>
    <w:rsid w:val="00AA5E29"/>
    <w:rsid w:val="00AA6831"/>
    <w:rsid w:val="00AA7E6E"/>
    <w:rsid w:val="00AB1244"/>
    <w:rsid w:val="00AB46B4"/>
    <w:rsid w:val="00AB549D"/>
    <w:rsid w:val="00AB7B27"/>
    <w:rsid w:val="00AC3178"/>
    <w:rsid w:val="00AC4391"/>
    <w:rsid w:val="00AC58B0"/>
    <w:rsid w:val="00AD5827"/>
    <w:rsid w:val="00AD7C4A"/>
    <w:rsid w:val="00AD7D7F"/>
    <w:rsid w:val="00AE0E9E"/>
    <w:rsid w:val="00AE1103"/>
    <w:rsid w:val="00AE319B"/>
    <w:rsid w:val="00AE35F0"/>
    <w:rsid w:val="00AE4978"/>
    <w:rsid w:val="00AE7D7A"/>
    <w:rsid w:val="00AF2307"/>
    <w:rsid w:val="00AF26D6"/>
    <w:rsid w:val="00B004B1"/>
    <w:rsid w:val="00B07AB4"/>
    <w:rsid w:val="00B12927"/>
    <w:rsid w:val="00B12A49"/>
    <w:rsid w:val="00B13CD4"/>
    <w:rsid w:val="00B15485"/>
    <w:rsid w:val="00B15EB0"/>
    <w:rsid w:val="00B15FCC"/>
    <w:rsid w:val="00B176DD"/>
    <w:rsid w:val="00B20523"/>
    <w:rsid w:val="00B23D9D"/>
    <w:rsid w:val="00B26916"/>
    <w:rsid w:val="00B33F2C"/>
    <w:rsid w:val="00B35A9A"/>
    <w:rsid w:val="00B3672C"/>
    <w:rsid w:val="00B408EA"/>
    <w:rsid w:val="00B41316"/>
    <w:rsid w:val="00B41A19"/>
    <w:rsid w:val="00B43E63"/>
    <w:rsid w:val="00B446F6"/>
    <w:rsid w:val="00B4487B"/>
    <w:rsid w:val="00B4545A"/>
    <w:rsid w:val="00B47581"/>
    <w:rsid w:val="00B50987"/>
    <w:rsid w:val="00B52295"/>
    <w:rsid w:val="00B52B5F"/>
    <w:rsid w:val="00B56164"/>
    <w:rsid w:val="00B565A1"/>
    <w:rsid w:val="00B56788"/>
    <w:rsid w:val="00B64749"/>
    <w:rsid w:val="00B64F0E"/>
    <w:rsid w:val="00B658D3"/>
    <w:rsid w:val="00B659F9"/>
    <w:rsid w:val="00B70117"/>
    <w:rsid w:val="00B801CD"/>
    <w:rsid w:val="00B8077F"/>
    <w:rsid w:val="00B817C3"/>
    <w:rsid w:val="00B834E6"/>
    <w:rsid w:val="00B85E1D"/>
    <w:rsid w:val="00B86279"/>
    <w:rsid w:val="00B91AD5"/>
    <w:rsid w:val="00B95427"/>
    <w:rsid w:val="00B95FA0"/>
    <w:rsid w:val="00B97759"/>
    <w:rsid w:val="00BA4B9A"/>
    <w:rsid w:val="00BA5199"/>
    <w:rsid w:val="00BA7823"/>
    <w:rsid w:val="00BB0659"/>
    <w:rsid w:val="00BB11C4"/>
    <w:rsid w:val="00BB35DC"/>
    <w:rsid w:val="00BB664E"/>
    <w:rsid w:val="00BB7B10"/>
    <w:rsid w:val="00BC2CD2"/>
    <w:rsid w:val="00BC30D1"/>
    <w:rsid w:val="00BC4887"/>
    <w:rsid w:val="00BC529A"/>
    <w:rsid w:val="00BC5659"/>
    <w:rsid w:val="00BC5A9E"/>
    <w:rsid w:val="00BC678B"/>
    <w:rsid w:val="00BD2EC3"/>
    <w:rsid w:val="00BD597D"/>
    <w:rsid w:val="00BD6692"/>
    <w:rsid w:val="00BD6FA4"/>
    <w:rsid w:val="00BE1509"/>
    <w:rsid w:val="00BE1611"/>
    <w:rsid w:val="00BE6950"/>
    <w:rsid w:val="00BE75DB"/>
    <w:rsid w:val="00BF172D"/>
    <w:rsid w:val="00BF381A"/>
    <w:rsid w:val="00BF3ADA"/>
    <w:rsid w:val="00BF5C55"/>
    <w:rsid w:val="00BF6177"/>
    <w:rsid w:val="00BF768E"/>
    <w:rsid w:val="00BF7995"/>
    <w:rsid w:val="00C0078F"/>
    <w:rsid w:val="00C0444C"/>
    <w:rsid w:val="00C054E1"/>
    <w:rsid w:val="00C06CA2"/>
    <w:rsid w:val="00C077CC"/>
    <w:rsid w:val="00C111E1"/>
    <w:rsid w:val="00C11C77"/>
    <w:rsid w:val="00C12B47"/>
    <w:rsid w:val="00C1354C"/>
    <w:rsid w:val="00C16DB6"/>
    <w:rsid w:val="00C21111"/>
    <w:rsid w:val="00C225F1"/>
    <w:rsid w:val="00C2323E"/>
    <w:rsid w:val="00C276BC"/>
    <w:rsid w:val="00C30498"/>
    <w:rsid w:val="00C32A59"/>
    <w:rsid w:val="00C33050"/>
    <w:rsid w:val="00C340FC"/>
    <w:rsid w:val="00C347ED"/>
    <w:rsid w:val="00C3533E"/>
    <w:rsid w:val="00C369AA"/>
    <w:rsid w:val="00C36E70"/>
    <w:rsid w:val="00C37C58"/>
    <w:rsid w:val="00C40631"/>
    <w:rsid w:val="00C406F1"/>
    <w:rsid w:val="00C40F0A"/>
    <w:rsid w:val="00C41696"/>
    <w:rsid w:val="00C43A16"/>
    <w:rsid w:val="00C45683"/>
    <w:rsid w:val="00C45FB3"/>
    <w:rsid w:val="00C466CA"/>
    <w:rsid w:val="00C501DA"/>
    <w:rsid w:val="00C50A4C"/>
    <w:rsid w:val="00C51BA2"/>
    <w:rsid w:val="00C5341B"/>
    <w:rsid w:val="00C53694"/>
    <w:rsid w:val="00C54929"/>
    <w:rsid w:val="00C54B5C"/>
    <w:rsid w:val="00C56325"/>
    <w:rsid w:val="00C56E3B"/>
    <w:rsid w:val="00C574BA"/>
    <w:rsid w:val="00C6166C"/>
    <w:rsid w:val="00C61929"/>
    <w:rsid w:val="00C646B1"/>
    <w:rsid w:val="00C669FD"/>
    <w:rsid w:val="00C670EA"/>
    <w:rsid w:val="00C67EAB"/>
    <w:rsid w:val="00C70B23"/>
    <w:rsid w:val="00C756C9"/>
    <w:rsid w:val="00C77E5D"/>
    <w:rsid w:val="00C93A4D"/>
    <w:rsid w:val="00C9558A"/>
    <w:rsid w:val="00C96C50"/>
    <w:rsid w:val="00CA1097"/>
    <w:rsid w:val="00CA364E"/>
    <w:rsid w:val="00CA4064"/>
    <w:rsid w:val="00CA6473"/>
    <w:rsid w:val="00CA7A5F"/>
    <w:rsid w:val="00CA7A85"/>
    <w:rsid w:val="00CB4C3A"/>
    <w:rsid w:val="00CB529A"/>
    <w:rsid w:val="00CB700C"/>
    <w:rsid w:val="00CC146C"/>
    <w:rsid w:val="00CC213C"/>
    <w:rsid w:val="00CC58C0"/>
    <w:rsid w:val="00CD28AC"/>
    <w:rsid w:val="00CD2966"/>
    <w:rsid w:val="00CD5A05"/>
    <w:rsid w:val="00CD6845"/>
    <w:rsid w:val="00CD70D9"/>
    <w:rsid w:val="00CD7207"/>
    <w:rsid w:val="00CE05F0"/>
    <w:rsid w:val="00CE0F21"/>
    <w:rsid w:val="00CE307E"/>
    <w:rsid w:val="00CE38E9"/>
    <w:rsid w:val="00CF1E29"/>
    <w:rsid w:val="00CF2479"/>
    <w:rsid w:val="00CF3B30"/>
    <w:rsid w:val="00CF4B20"/>
    <w:rsid w:val="00CF6AF6"/>
    <w:rsid w:val="00D00752"/>
    <w:rsid w:val="00D01537"/>
    <w:rsid w:val="00D01A22"/>
    <w:rsid w:val="00D04BDD"/>
    <w:rsid w:val="00D04E49"/>
    <w:rsid w:val="00D06AB0"/>
    <w:rsid w:val="00D077D8"/>
    <w:rsid w:val="00D10E0E"/>
    <w:rsid w:val="00D12992"/>
    <w:rsid w:val="00D12E93"/>
    <w:rsid w:val="00D15A1C"/>
    <w:rsid w:val="00D1650B"/>
    <w:rsid w:val="00D169E7"/>
    <w:rsid w:val="00D177A6"/>
    <w:rsid w:val="00D207C1"/>
    <w:rsid w:val="00D23FB9"/>
    <w:rsid w:val="00D24BF4"/>
    <w:rsid w:val="00D30ADF"/>
    <w:rsid w:val="00D30C03"/>
    <w:rsid w:val="00D32151"/>
    <w:rsid w:val="00D32E70"/>
    <w:rsid w:val="00D35474"/>
    <w:rsid w:val="00D40E83"/>
    <w:rsid w:val="00D415F1"/>
    <w:rsid w:val="00D4370A"/>
    <w:rsid w:val="00D43981"/>
    <w:rsid w:val="00D44BBF"/>
    <w:rsid w:val="00D542F7"/>
    <w:rsid w:val="00D55D08"/>
    <w:rsid w:val="00D60736"/>
    <w:rsid w:val="00D623C8"/>
    <w:rsid w:val="00D64E5E"/>
    <w:rsid w:val="00D66019"/>
    <w:rsid w:val="00D70C5C"/>
    <w:rsid w:val="00D75BB9"/>
    <w:rsid w:val="00D768CD"/>
    <w:rsid w:val="00D83DBD"/>
    <w:rsid w:val="00D8406C"/>
    <w:rsid w:val="00D8406F"/>
    <w:rsid w:val="00D84864"/>
    <w:rsid w:val="00D864F6"/>
    <w:rsid w:val="00D87288"/>
    <w:rsid w:val="00D91699"/>
    <w:rsid w:val="00D91F04"/>
    <w:rsid w:val="00D920F7"/>
    <w:rsid w:val="00D92AAF"/>
    <w:rsid w:val="00D92EE8"/>
    <w:rsid w:val="00D93129"/>
    <w:rsid w:val="00D94DD5"/>
    <w:rsid w:val="00D951A6"/>
    <w:rsid w:val="00DA0FF0"/>
    <w:rsid w:val="00DA1599"/>
    <w:rsid w:val="00DA2AAA"/>
    <w:rsid w:val="00DA56EC"/>
    <w:rsid w:val="00DB043F"/>
    <w:rsid w:val="00DB0E5A"/>
    <w:rsid w:val="00DB1E25"/>
    <w:rsid w:val="00DB44BD"/>
    <w:rsid w:val="00DB5CF4"/>
    <w:rsid w:val="00DB608A"/>
    <w:rsid w:val="00DB76BE"/>
    <w:rsid w:val="00DC1ED8"/>
    <w:rsid w:val="00DC404A"/>
    <w:rsid w:val="00DD0235"/>
    <w:rsid w:val="00DD0FC8"/>
    <w:rsid w:val="00DD2972"/>
    <w:rsid w:val="00DD53C8"/>
    <w:rsid w:val="00DD57DD"/>
    <w:rsid w:val="00DD6D08"/>
    <w:rsid w:val="00DD7773"/>
    <w:rsid w:val="00DE2488"/>
    <w:rsid w:val="00DE2C06"/>
    <w:rsid w:val="00DE3B3D"/>
    <w:rsid w:val="00DE4E12"/>
    <w:rsid w:val="00DE522D"/>
    <w:rsid w:val="00DE528B"/>
    <w:rsid w:val="00DE6474"/>
    <w:rsid w:val="00E02142"/>
    <w:rsid w:val="00E071E4"/>
    <w:rsid w:val="00E11A56"/>
    <w:rsid w:val="00E143B1"/>
    <w:rsid w:val="00E16E16"/>
    <w:rsid w:val="00E17218"/>
    <w:rsid w:val="00E22E25"/>
    <w:rsid w:val="00E24124"/>
    <w:rsid w:val="00E27F37"/>
    <w:rsid w:val="00E354A8"/>
    <w:rsid w:val="00E37E33"/>
    <w:rsid w:val="00E40A2B"/>
    <w:rsid w:val="00E417E1"/>
    <w:rsid w:val="00E41DE7"/>
    <w:rsid w:val="00E42016"/>
    <w:rsid w:val="00E423E1"/>
    <w:rsid w:val="00E42428"/>
    <w:rsid w:val="00E44D40"/>
    <w:rsid w:val="00E478B8"/>
    <w:rsid w:val="00E525D3"/>
    <w:rsid w:val="00E52CCE"/>
    <w:rsid w:val="00E54150"/>
    <w:rsid w:val="00E578C4"/>
    <w:rsid w:val="00E61E57"/>
    <w:rsid w:val="00E62142"/>
    <w:rsid w:val="00E62F66"/>
    <w:rsid w:val="00E64F83"/>
    <w:rsid w:val="00E65D74"/>
    <w:rsid w:val="00E6615D"/>
    <w:rsid w:val="00E72867"/>
    <w:rsid w:val="00E73744"/>
    <w:rsid w:val="00E739EA"/>
    <w:rsid w:val="00E75E58"/>
    <w:rsid w:val="00E7692C"/>
    <w:rsid w:val="00E811EE"/>
    <w:rsid w:val="00E82FA4"/>
    <w:rsid w:val="00E832B9"/>
    <w:rsid w:val="00E839C9"/>
    <w:rsid w:val="00E90501"/>
    <w:rsid w:val="00E9054A"/>
    <w:rsid w:val="00E9077C"/>
    <w:rsid w:val="00E91535"/>
    <w:rsid w:val="00E92876"/>
    <w:rsid w:val="00EA0770"/>
    <w:rsid w:val="00EA3E4F"/>
    <w:rsid w:val="00EA5E0D"/>
    <w:rsid w:val="00EB3F97"/>
    <w:rsid w:val="00EB43D8"/>
    <w:rsid w:val="00EB6296"/>
    <w:rsid w:val="00EB7ED6"/>
    <w:rsid w:val="00EC16A1"/>
    <w:rsid w:val="00EC1F35"/>
    <w:rsid w:val="00EC2974"/>
    <w:rsid w:val="00EC4039"/>
    <w:rsid w:val="00EC541F"/>
    <w:rsid w:val="00EC6574"/>
    <w:rsid w:val="00EC7D5E"/>
    <w:rsid w:val="00ED72D1"/>
    <w:rsid w:val="00ED72D6"/>
    <w:rsid w:val="00ED771B"/>
    <w:rsid w:val="00EE0557"/>
    <w:rsid w:val="00EE32F1"/>
    <w:rsid w:val="00EE6220"/>
    <w:rsid w:val="00EF0B9F"/>
    <w:rsid w:val="00EF1728"/>
    <w:rsid w:val="00EF3662"/>
    <w:rsid w:val="00EF7831"/>
    <w:rsid w:val="00F02DB0"/>
    <w:rsid w:val="00F0412D"/>
    <w:rsid w:val="00F060C4"/>
    <w:rsid w:val="00F06154"/>
    <w:rsid w:val="00F14F1D"/>
    <w:rsid w:val="00F20B3C"/>
    <w:rsid w:val="00F20BCD"/>
    <w:rsid w:val="00F21022"/>
    <w:rsid w:val="00F216E1"/>
    <w:rsid w:val="00F246E6"/>
    <w:rsid w:val="00F2619A"/>
    <w:rsid w:val="00F26FEB"/>
    <w:rsid w:val="00F27170"/>
    <w:rsid w:val="00F32D43"/>
    <w:rsid w:val="00F3489F"/>
    <w:rsid w:val="00F348BC"/>
    <w:rsid w:val="00F35EB8"/>
    <w:rsid w:val="00F40864"/>
    <w:rsid w:val="00F40DBE"/>
    <w:rsid w:val="00F418D6"/>
    <w:rsid w:val="00F4245D"/>
    <w:rsid w:val="00F442D9"/>
    <w:rsid w:val="00F449BF"/>
    <w:rsid w:val="00F51481"/>
    <w:rsid w:val="00F5235D"/>
    <w:rsid w:val="00F54259"/>
    <w:rsid w:val="00F54AC7"/>
    <w:rsid w:val="00F55255"/>
    <w:rsid w:val="00F5737C"/>
    <w:rsid w:val="00F6457F"/>
    <w:rsid w:val="00F64593"/>
    <w:rsid w:val="00F657B1"/>
    <w:rsid w:val="00F65EE4"/>
    <w:rsid w:val="00F66BA7"/>
    <w:rsid w:val="00F67295"/>
    <w:rsid w:val="00F67D4B"/>
    <w:rsid w:val="00F71F3A"/>
    <w:rsid w:val="00F72741"/>
    <w:rsid w:val="00F74E14"/>
    <w:rsid w:val="00F7501E"/>
    <w:rsid w:val="00F77326"/>
    <w:rsid w:val="00F77862"/>
    <w:rsid w:val="00F80533"/>
    <w:rsid w:val="00F813C0"/>
    <w:rsid w:val="00F8199D"/>
    <w:rsid w:val="00F81C49"/>
    <w:rsid w:val="00F8210B"/>
    <w:rsid w:val="00F82A9D"/>
    <w:rsid w:val="00F835F7"/>
    <w:rsid w:val="00F83752"/>
    <w:rsid w:val="00F83B3C"/>
    <w:rsid w:val="00F91C96"/>
    <w:rsid w:val="00F91F97"/>
    <w:rsid w:val="00F92608"/>
    <w:rsid w:val="00F93C79"/>
    <w:rsid w:val="00F94C41"/>
    <w:rsid w:val="00F97405"/>
    <w:rsid w:val="00FA11B2"/>
    <w:rsid w:val="00FA1869"/>
    <w:rsid w:val="00FA2706"/>
    <w:rsid w:val="00FA5F24"/>
    <w:rsid w:val="00FA611E"/>
    <w:rsid w:val="00FA64A0"/>
    <w:rsid w:val="00FA7C7F"/>
    <w:rsid w:val="00FB1F69"/>
    <w:rsid w:val="00FB25E9"/>
    <w:rsid w:val="00FB6A06"/>
    <w:rsid w:val="00FC1606"/>
    <w:rsid w:val="00FC2F8B"/>
    <w:rsid w:val="00FC308C"/>
    <w:rsid w:val="00FC4E3B"/>
    <w:rsid w:val="00FC6BEC"/>
    <w:rsid w:val="00FC7FC6"/>
    <w:rsid w:val="00FD0852"/>
    <w:rsid w:val="00FD12F1"/>
    <w:rsid w:val="00FD2952"/>
    <w:rsid w:val="00FD2AD5"/>
    <w:rsid w:val="00FD2B3E"/>
    <w:rsid w:val="00FD3BF8"/>
    <w:rsid w:val="00FD3CB2"/>
    <w:rsid w:val="00FD4918"/>
    <w:rsid w:val="00FE22BB"/>
    <w:rsid w:val="00FE3268"/>
    <w:rsid w:val="00FE44AD"/>
    <w:rsid w:val="00FE63A0"/>
    <w:rsid w:val="00FE7673"/>
    <w:rsid w:val="00FE7826"/>
    <w:rsid w:val="00FF0B53"/>
    <w:rsid w:val="00FF3AD5"/>
    <w:rsid w:val="00FF405C"/>
    <w:rsid w:val="00FF4B6F"/>
    <w:rsid w:val="00FF4C07"/>
    <w:rsid w:val="00FF5134"/>
    <w:rsid w:val="00FF54AD"/>
    <w:rsid w:val="00FF6366"/>
    <w:rsid w:val="00FF6948"/>
    <w:rsid w:val="00FF7FDB"/>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1805BD"/>
  <w15:docId w15:val="{615495B2-0FE2-406B-82BC-850B2CD1C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eastAsia="PMingLiU" w:asciiTheme="minorHAnsi" w:hAnsiTheme="minorHAnsi" w:cstheme="minorBidi"/>
        <w:sz w:val="22"/>
        <w:szCs w:val="22"/>
        <w:lang w:val="en-AU" w:eastAsia="zh-CN" w:bidi="ar-SA"/>
      </w:rPr>
    </w:rPrDefault>
    <w:pPrDefault>
      <w:pPr>
        <w:spacing w:after="200" w:line="2" w:lineRule="auto"/>
      </w:pPr>
    </w:pPrDefault>
  </w:docDefaults>
  <w:latentStyles w:defLockedState="0" w:defUIPriority="0" w:defSemiHidden="0" w:defUnhideWhenUsed="0" w:defQFormat="0" w:count="376">
    <w:lsdException w:name="Normal" w:uiPriority="1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qFormat="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7"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7" w:semiHidden="1" w:unhideWhenUsed="1" w:qFormat="1"/>
    <w:lsdException w:name="List Number 3" w:uiPriority="7" w:semiHidden="1" w:unhideWhenUsed="1" w:qFormat="1"/>
    <w:lsdException w:name="List Number 4" w:uiPriority="7"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uiPriority="6"/>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6"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6"/>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uiPriority w:val="11"/>
    <w:rsid w:val="00C340FC"/>
    <w:pPr>
      <w:spacing w:after="0" w:line="240" w:lineRule="auto"/>
    </w:pPr>
    <w:rPr>
      <w:rFonts w:eastAsiaTheme="minorEastAsia"/>
      <w:szCs w:val="28"/>
      <w:lang w:val="sv-SE"/>
    </w:rPr>
  </w:style>
  <w:style w:type="paragraph" w:styleId="Heading1">
    <w:name w:val="heading 1"/>
    <w:basedOn w:val="Normal"/>
    <w:next w:val="BodyText"/>
    <w:qFormat/>
    <w:rsid w:val="001A249F"/>
    <w:pPr>
      <w:outlineLvl w:val="0"/>
    </w:pPr>
    <w:rPr>
      <w:rFonts w:ascii="Avenir Next LT Pro" w:hAnsi="Avenir Next LT Pro" w:cstheme="minorHAnsi"/>
      <w:b/>
      <w:bCs/>
      <w:color w:val="F26321"/>
      <w:kern w:val="2"/>
      <w14:ligatures w14:val="standardContextual"/>
    </w:rPr>
  </w:style>
  <w:style w:type="paragraph" w:styleId="Heading2">
    <w:name w:val="heading 2"/>
    <w:basedOn w:val="Normal"/>
    <w:next w:val="BodyText"/>
    <w:qFormat/>
    <w:rsid w:val="001A249F"/>
    <w:pPr>
      <w:outlineLvl w:val="1"/>
    </w:pPr>
    <w:rPr>
      <w:rFonts w:ascii="Avenir Next LT Pro" w:hAnsi="Avenir Next LT Pro" w:cstheme="minorHAnsi"/>
      <w:b/>
      <w:bCs/>
      <w:color w:val="29A9E3"/>
      <w:kern w:val="2"/>
      <w14:ligatures w14:val="standardContextual"/>
    </w:rPr>
  </w:style>
  <w:style w:type="paragraph" w:styleId="Heading3">
    <w:name w:val="heading 3"/>
    <w:basedOn w:val="Normal"/>
    <w:qFormat/>
    <w:rsid w:val="00B41A19"/>
    <w:pPr>
      <w:tabs>
        <w:tab w:val="left" w:pos="720"/>
      </w:tabs>
      <w:jc w:val="both"/>
      <w:outlineLvl w:val="2"/>
    </w:pPr>
    <w:rPr>
      <w:rFonts w:ascii="Avenir Next LT Pro" w:hAnsi="Avenir Next LT Pro" w:cstheme="minorHAnsi"/>
      <w:color w:val="29A9E3"/>
      <w:kern w:val="2"/>
      <w14:ligatures w14:val="standardContextual"/>
    </w:rPr>
  </w:style>
  <w:style w:type="paragraph" w:styleId="Heading4">
    <w:name w:val="heading 4"/>
    <w:basedOn w:val="Normal"/>
    <w:qFormat/>
    <w:rsid w:val="00E739EA"/>
    <w:pPr>
      <w:numPr>
        <w:ilvl w:val="3"/>
        <w:numId w:val="32"/>
      </w:numPr>
      <w:spacing w:after="180" w:line="260" w:lineRule="atLeast"/>
      <w:outlineLvl w:val="3"/>
    </w:pPr>
  </w:style>
  <w:style w:type="paragraph" w:styleId="Heading5">
    <w:name w:val="heading 5"/>
    <w:basedOn w:val="Normal"/>
    <w:qFormat/>
    <w:rsid w:val="00E739EA"/>
    <w:pPr>
      <w:numPr>
        <w:ilvl w:val="4"/>
        <w:numId w:val="32"/>
      </w:numPr>
      <w:spacing w:after="180" w:line="260" w:lineRule="atLeast"/>
      <w:outlineLvl w:val="4"/>
    </w:pPr>
  </w:style>
  <w:style w:type="paragraph" w:styleId="Heading6">
    <w:name w:val="heading 6"/>
    <w:basedOn w:val="Normal"/>
    <w:qFormat/>
    <w:rsid w:val="00E739EA"/>
    <w:pPr>
      <w:numPr>
        <w:ilvl w:val="5"/>
        <w:numId w:val="32"/>
      </w:numPr>
      <w:spacing w:after="180" w:line="260" w:lineRule="atLeast"/>
      <w:outlineLvl w:val="5"/>
    </w:pPr>
  </w:style>
  <w:style w:type="paragraph" w:styleId="Heading7">
    <w:name w:val="heading 7"/>
    <w:basedOn w:val="Normal"/>
    <w:link w:val="Heading7Char"/>
    <w:qFormat/>
    <w:rsid w:val="00E739EA"/>
    <w:pPr>
      <w:numPr>
        <w:ilvl w:val="6"/>
        <w:numId w:val="32"/>
      </w:numPr>
      <w:spacing w:after="180" w:line="260" w:lineRule="atLeast"/>
      <w:outlineLvl w:val="6"/>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MKAddressInfo" w:customStyle="1">
    <w:name w:val="BMK Address Info"/>
    <w:link w:val="BMKAddressInfoChar"/>
    <w:semiHidden/>
    <w:rsid w:val="00E739EA"/>
    <w:pPr>
      <w:spacing w:after="0" w:line="240" w:lineRule="auto"/>
    </w:pPr>
    <w:rPr>
      <w:rFonts w:ascii="Arial" w:hAnsi="Arial"/>
      <w:noProof/>
      <w:sz w:val="16"/>
    </w:rPr>
  </w:style>
  <w:style w:type="paragraph" w:styleId="BMKCities" w:customStyle="1">
    <w:name w:val="BMK Cities"/>
    <w:semiHidden/>
    <w:rsid w:val="00E739EA"/>
    <w:pPr>
      <w:spacing w:after="0" w:line="240" w:lineRule="auto"/>
    </w:pPr>
    <w:rPr>
      <w:rFonts w:ascii="Arial" w:hAnsi="Arial"/>
      <w:noProof/>
      <w:spacing w:val="2"/>
      <w:sz w:val="11"/>
      <w:szCs w:val="11"/>
    </w:rPr>
  </w:style>
  <w:style w:type="paragraph" w:styleId="BMKDeliveryPhrase" w:customStyle="1">
    <w:name w:val="BMK Delivery Phrase"/>
    <w:basedOn w:val="BMKAddressInfo"/>
    <w:semiHidden/>
    <w:rsid w:val="00E739EA"/>
    <w:pPr>
      <w:framePr w:w="2943" w:h="1734" w:wrap="around" w:hAnchor="page" w:vAnchor="text" w:x="8533" w:y="208" w:hRule="exact"/>
    </w:pPr>
    <w:rPr>
      <w:b/>
    </w:rPr>
  </w:style>
  <w:style w:type="paragraph" w:styleId="BMKLegalNoticePhrase" w:customStyle="1">
    <w:name w:val="BMK Legal Notice Phrase"/>
    <w:basedOn w:val="Normal"/>
    <w:semiHidden/>
    <w:rsid w:val="00E739EA"/>
    <w:pPr>
      <w:spacing w:before="260" w:after="180" w:line="260" w:lineRule="atLeast"/>
    </w:pPr>
    <w:rPr>
      <w:rFonts w:asciiTheme="majorHAnsi" w:hAnsiTheme="majorHAnsi" w:eastAsiaTheme="majorEastAsia" w:cstheme="majorHAnsi"/>
      <w:b/>
      <w:caps/>
    </w:rPr>
  </w:style>
  <w:style w:type="paragraph" w:styleId="BMKMemberFirmName" w:customStyle="1">
    <w:name w:val="BMK Member Firm Name"/>
    <w:basedOn w:val="BMKAddressInfo"/>
    <w:next w:val="BMKAddressInfo"/>
    <w:link w:val="BMKMemberFirmNameChar"/>
    <w:semiHidden/>
    <w:rsid w:val="00C340FC"/>
    <w:rPr>
      <w:b/>
      <w:bCs/>
    </w:rPr>
  </w:style>
  <w:style w:type="paragraph" w:styleId="BMKRegions" w:customStyle="1">
    <w:name w:val="BMK Regions"/>
    <w:basedOn w:val="BMKCities"/>
    <w:next w:val="BMKCities"/>
    <w:semiHidden/>
    <w:rsid w:val="00E739EA"/>
    <w:rPr>
      <w:rFonts w:ascii="Arial Black" w:hAnsi="Arial Black"/>
      <w:szCs w:val="24"/>
    </w:rPr>
  </w:style>
  <w:style w:type="paragraph" w:styleId="BMKMultiOffice" w:customStyle="1">
    <w:name w:val="BMK Multi Office"/>
    <w:basedOn w:val="BMKRegions"/>
    <w:next w:val="Normal"/>
    <w:semiHidden/>
    <w:rsid w:val="00E739EA"/>
  </w:style>
  <w:style w:type="paragraph" w:styleId="BMKMultiOfficeAddress" w:customStyle="1">
    <w:name w:val="BMK Multi Office Address"/>
    <w:basedOn w:val="BMKCities"/>
    <w:semiHidden/>
    <w:rsid w:val="00E739EA"/>
  </w:style>
  <w:style w:type="paragraph" w:styleId="BMKPartnerList" w:customStyle="1">
    <w:name w:val="BMK Partner List"/>
    <w:basedOn w:val="BMKCities"/>
    <w:semiHidden/>
    <w:rsid w:val="00E739EA"/>
    <w:pPr>
      <w:adjustRightInd w:val="0"/>
      <w:snapToGrid w:val="0"/>
      <w:spacing w:after="20"/>
    </w:pPr>
    <w:rPr>
      <w:spacing w:val="0"/>
      <w:sz w:val="10"/>
      <w:szCs w:val="16"/>
    </w:rPr>
  </w:style>
  <w:style w:type="paragraph" w:styleId="BMKQualifier" w:customStyle="1">
    <w:name w:val="BMK Qualifier"/>
    <w:semiHidden/>
    <w:rsid w:val="00E739EA"/>
    <w:pPr>
      <w:spacing w:line="170" w:lineRule="atLeast"/>
    </w:pPr>
    <w:rPr>
      <w:rFonts w:asciiTheme="majorHAnsi" w:hAnsiTheme="majorHAnsi"/>
      <w:caps/>
      <w:noProof/>
      <w:sz w:val="13"/>
      <w:szCs w:val="13"/>
    </w:rPr>
  </w:style>
  <w:style w:type="paragraph" w:styleId="BMKRefInfo" w:customStyle="1">
    <w:name w:val="BMK Ref Info"/>
    <w:basedOn w:val="BMKAddressInfo"/>
    <w:semiHidden/>
    <w:rsid w:val="00E739EA"/>
    <w:pPr>
      <w:framePr w:w="2943" w:h="1734" w:wrap="around" w:hAnchor="page" w:vAnchor="text" w:x="8533" w:y="208" w:hRule="exact"/>
    </w:pPr>
  </w:style>
  <w:style w:type="paragraph" w:styleId="BMKRecipient1" w:customStyle="1">
    <w:name w:val="BMK Recipient1"/>
    <w:basedOn w:val="Normal"/>
    <w:semiHidden/>
    <w:rsid w:val="00E739EA"/>
    <w:pPr>
      <w:spacing w:line="260" w:lineRule="atLeast"/>
    </w:pPr>
  </w:style>
  <w:style w:type="paragraph" w:styleId="Footer">
    <w:name w:val="footer"/>
    <w:basedOn w:val="Normal"/>
    <w:link w:val="FooterChar"/>
    <w:uiPriority w:val="99"/>
    <w:rsid w:val="00E739EA"/>
    <w:pPr>
      <w:tabs>
        <w:tab w:val="right" w:pos="9350"/>
      </w:tabs>
      <w:spacing w:line="200" w:lineRule="atLeast"/>
    </w:pPr>
    <w:rPr>
      <w:rFonts w:asciiTheme="majorHAnsi" w:hAnsiTheme="majorHAnsi" w:eastAsiaTheme="majorEastAsia" w:cstheme="majorHAnsi"/>
      <w:noProof/>
      <w:sz w:val="16"/>
      <w:szCs w:val="22"/>
    </w:rPr>
  </w:style>
  <w:style w:type="character" w:styleId="FootnoteReference">
    <w:name w:val="footnote reference"/>
    <w:uiPriority w:val="99"/>
    <w:qFormat/>
    <w:rsid w:val="00E739EA"/>
    <w:rPr>
      <w:vertAlign w:val="superscript"/>
    </w:rPr>
  </w:style>
  <w:style w:type="paragraph" w:styleId="Header">
    <w:name w:val="header"/>
    <w:basedOn w:val="Normal"/>
    <w:semiHidden/>
    <w:rsid w:val="00E739EA"/>
  </w:style>
  <w:style w:type="paragraph" w:styleId="ListNumber">
    <w:name w:val="List Number"/>
    <w:basedOn w:val="Normal"/>
    <w:uiPriority w:val="7"/>
    <w:qFormat/>
    <w:rsid w:val="00E739EA"/>
    <w:pPr>
      <w:numPr>
        <w:numId w:val="4"/>
      </w:numPr>
      <w:spacing w:after="180" w:line="260" w:lineRule="atLeast"/>
    </w:pPr>
  </w:style>
  <w:style w:type="paragraph" w:styleId="FootnoteText">
    <w:name w:val="footnote text"/>
    <w:basedOn w:val="Normal"/>
    <w:link w:val="FootnoteTextChar"/>
    <w:uiPriority w:val="99"/>
    <w:qFormat/>
    <w:rsid w:val="00E739EA"/>
    <w:rPr>
      <w:sz w:val="18"/>
      <w:szCs w:val="20"/>
    </w:rPr>
  </w:style>
  <w:style w:type="paragraph" w:styleId="Bullet1" w:customStyle="1">
    <w:name w:val="Bullet 1"/>
    <w:basedOn w:val="Normal"/>
    <w:uiPriority w:val="8"/>
    <w:qFormat/>
    <w:rsid w:val="00E739EA"/>
    <w:pPr>
      <w:numPr>
        <w:numId w:val="1"/>
      </w:numPr>
      <w:spacing w:after="180" w:line="260" w:lineRule="atLeast"/>
    </w:pPr>
  </w:style>
  <w:style w:type="paragraph" w:styleId="BMKSubject" w:customStyle="1">
    <w:name w:val="BMK Subject"/>
    <w:basedOn w:val="Normal"/>
    <w:semiHidden/>
    <w:rsid w:val="00E739EA"/>
    <w:pPr>
      <w:spacing w:line="260" w:lineRule="atLeast"/>
    </w:pPr>
    <w:rPr>
      <w:rFonts w:asciiTheme="majorHAnsi" w:hAnsiTheme="majorHAnsi" w:eastAsiaTheme="majorEastAsia" w:cstheme="majorHAnsi"/>
      <w:b/>
      <w:bCs/>
    </w:rPr>
  </w:style>
  <w:style w:type="character" w:styleId="BMKAddressInfoChar" w:customStyle="1">
    <w:name w:val="BMK Address Info Char"/>
    <w:link w:val="BMKAddressInfo"/>
    <w:semiHidden/>
    <w:rsid w:val="00E739EA"/>
    <w:rPr>
      <w:rFonts w:ascii="Arial" w:hAnsi="Arial"/>
      <w:noProof/>
      <w:sz w:val="16"/>
    </w:rPr>
  </w:style>
  <w:style w:type="paragraph" w:styleId="BMKPrivacyText" w:customStyle="1">
    <w:name w:val="BMK Privacy Text"/>
    <w:basedOn w:val="Footer"/>
    <w:link w:val="BMKPrivacyTextChar"/>
    <w:semiHidden/>
    <w:rsid w:val="00E739EA"/>
  </w:style>
  <w:style w:type="paragraph" w:styleId="OtherContact" w:customStyle="1">
    <w:name w:val="OtherContact"/>
    <w:basedOn w:val="Normal"/>
    <w:semiHidden/>
    <w:rsid w:val="00E739EA"/>
    <w:rPr>
      <w:rFonts w:asciiTheme="majorHAnsi" w:hAnsiTheme="majorHAnsi" w:eastAsiaTheme="majorEastAsia" w:cstheme="majorHAnsi"/>
      <w:sz w:val="16"/>
    </w:rPr>
  </w:style>
  <w:style w:type="paragraph" w:styleId="Bullet2" w:customStyle="1">
    <w:name w:val="Bullet 2"/>
    <w:basedOn w:val="Normal"/>
    <w:uiPriority w:val="8"/>
    <w:qFormat/>
    <w:rsid w:val="00E739EA"/>
    <w:pPr>
      <w:numPr>
        <w:numId w:val="2"/>
      </w:numPr>
      <w:spacing w:line="260" w:lineRule="atLeast"/>
    </w:pPr>
  </w:style>
  <w:style w:type="character" w:styleId="Definition" w:customStyle="1">
    <w:name w:val="Definition"/>
    <w:basedOn w:val="DefaultParagraphFont"/>
    <w:uiPriority w:val="3"/>
    <w:rsid w:val="00E739EA"/>
    <w:rPr>
      <w:b/>
      <w:bCs/>
      <w:i w:val="0"/>
      <w:szCs w:val="28"/>
    </w:rPr>
  </w:style>
  <w:style w:type="character" w:styleId="PageNumber">
    <w:name w:val="page number"/>
    <w:basedOn w:val="DefaultParagraphFont"/>
    <w:semiHidden/>
    <w:rsid w:val="00E739EA"/>
    <w:rPr>
      <w:szCs w:val="16"/>
    </w:rPr>
  </w:style>
  <w:style w:type="paragraph" w:styleId="LetterDetail" w:customStyle="1">
    <w:name w:val="LetterDetail"/>
    <w:basedOn w:val="Normal"/>
    <w:semiHidden/>
    <w:rsid w:val="00E739EA"/>
    <w:pPr>
      <w:spacing w:line="260" w:lineRule="atLeast"/>
    </w:pPr>
  </w:style>
  <w:style w:type="paragraph" w:styleId="BMKLetterCaption" w:customStyle="1">
    <w:name w:val="BMK LetterCaption"/>
    <w:basedOn w:val="BMKLegalNoticePhrase"/>
    <w:next w:val="NormalSingle"/>
    <w:semiHidden/>
    <w:rsid w:val="00E739EA"/>
    <w:pPr>
      <w:spacing w:before="0"/>
    </w:pPr>
  </w:style>
  <w:style w:type="paragraph" w:styleId="BMKco-brand" w:customStyle="1">
    <w:name w:val="BMK co-brand"/>
    <w:semiHidden/>
    <w:rsid w:val="00E739EA"/>
    <w:pPr>
      <w:spacing w:line="170" w:lineRule="atLeast"/>
    </w:pPr>
    <w:rPr>
      <w:rFonts w:asciiTheme="majorHAnsi" w:hAnsiTheme="majorHAnsi"/>
      <w:caps/>
      <w:sz w:val="13"/>
    </w:rPr>
  </w:style>
  <w:style w:type="character" w:styleId="Highlight" w:customStyle="1">
    <w:name w:val="Highlight"/>
    <w:semiHidden/>
    <w:rsid w:val="00E739EA"/>
    <w:rPr>
      <w:rFonts w:asciiTheme="majorHAnsi" w:hAnsiTheme="majorHAnsi" w:eastAsiaTheme="majorEastAsia" w:cstheme="majorHAnsi"/>
      <w:b/>
    </w:rPr>
  </w:style>
  <w:style w:type="paragraph" w:styleId="TableText" w:customStyle="1">
    <w:name w:val="Table Text"/>
    <w:basedOn w:val="Normal"/>
    <w:uiPriority w:val="6"/>
    <w:semiHidden/>
    <w:rsid w:val="00E739EA"/>
    <w:pPr>
      <w:tabs>
        <w:tab w:val="right" w:pos="9072"/>
      </w:tabs>
      <w:spacing w:after="180" w:line="260" w:lineRule="atLeast"/>
    </w:pPr>
  </w:style>
  <w:style w:type="paragraph" w:styleId="TableHeading" w:customStyle="1">
    <w:name w:val="Table Heading"/>
    <w:basedOn w:val="Normal"/>
    <w:next w:val="Normal"/>
    <w:uiPriority w:val="8"/>
    <w:semiHidden/>
    <w:rsid w:val="00E739EA"/>
    <w:pPr>
      <w:spacing w:before="120" w:after="120" w:line="240" w:lineRule="atLeast"/>
    </w:pPr>
    <w:rPr>
      <w:rFonts w:ascii="Arial" w:hAnsi="Arial"/>
      <w:caps/>
      <w:sz w:val="16"/>
      <w:szCs w:val="22"/>
    </w:rPr>
  </w:style>
  <w:style w:type="paragraph" w:styleId="ListNumber2">
    <w:name w:val="List Number 2"/>
    <w:basedOn w:val="Normal"/>
    <w:uiPriority w:val="7"/>
    <w:qFormat/>
    <w:rsid w:val="00E739EA"/>
    <w:pPr>
      <w:numPr>
        <w:ilvl w:val="1"/>
        <w:numId w:val="4"/>
      </w:numPr>
      <w:spacing w:after="180" w:line="260" w:lineRule="atLeast"/>
    </w:pPr>
  </w:style>
  <w:style w:type="paragraph" w:styleId="ListNumber3">
    <w:name w:val="List Number 3"/>
    <w:basedOn w:val="Normal"/>
    <w:uiPriority w:val="7"/>
    <w:qFormat/>
    <w:rsid w:val="00E739EA"/>
    <w:pPr>
      <w:numPr>
        <w:ilvl w:val="2"/>
        <w:numId w:val="4"/>
      </w:numPr>
      <w:spacing w:after="180" w:line="260" w:lineRule="atLeast"/>
    </w:pPr>
  </w:style>
  <w:style w:type="paragraph" w:styleId="ListNumber4">
    <w:name w:val="List Number 4"/>
    <w:basedOn w:val="Normal"/>
    <w:uiPriority w:val="7"/>
    <w:qFormat/>
    <w:rsid w:val="00E739EA"/>
    <w:pPr>
      <w:numPr>
        <w:ilvl w:val="3"/>
        <w:numId w:val="4"/>
      </w:numPr>
      <w:spacing w:after="180" w:line="260" w:lineRule="atLeast"/>
    </w:pPr>
  </w:style>
  <w:style w:type="paragraph" w:styleId="BodyText">
    <w:name w:val="Body Text"/>
    <w:basedOn w:val="Normal"/>
    <w:qFormat/>
    <w:rsid w:val="007D2177"/>
    <w:pPr>
      <w:tabs>
        <w:tab w:val="left" w:pos="720"/>
      </w:tabs>
      <w:spacing w:after="180"/>
      <w:jc w:val="both"/>
    </w:pPr>
    <w:rPr>
      <w:rFonts w:asciiTheme="majorHAnsi" w:hAnsiTheme="majorHAnsi" w:cstheme="majorHAnsi"/>
      <w:szCs w:val="22"/>
      <w:lang w:eastAsia="sv-SE"/>
    </w:rPr>
  </w:style>
  <w:style w:type="paragraph" w:styleId="NormalSingle" w:customStyle="1">
    <w:name w:val="Normal Single"/>
    <w:basedOn w:val="Normal"/>
    <w:uiPriority w:val="6"/>
    <w:semiHidden/>
    <w:rsid w:val="00E739EA"/>
    <w:pPr>
      <w:spacing w:line="0" w:lineRule="atLeast"/>
    </w:pPr>
  </w:style>
  <w:style w:type="character" w:styleId="Emphasis">
    <w:name w:val="Emphasis"/>
    <w:semiHidden/>
    <w:rsid w:val="00E739EA"/>
    <w:rPr>
      <w:i/>
      <w:iCs/>
    </w:rPr>
  </w:style>
  <w:style w:type="character" w:styleId="BMKMemberFirmNameChar" w:customStyle="1">
    <w:name w:val="BMK Member Firm Name Char"/>
    <w:link w:val="BMKMemberFirmName"/>
    <w:semiHidden/>
    <w:rsid w:val="00C340FC"/>
    <w:rPr>
      <w:rFonts w:ascii="Arial" w:hAnsi="Arial"/>
      <w:b/>
      <w:bCs/>
      <w:noProof/>
      <w:sz w:val="16"/>
    </w:rPr>
  </w:style>
  <w:style w:type="paragraph" w:styleId="BMKDocumentNameHK" w:customStyle="1">
    <w:name w:val="BMK Document Name HK"/>
    <w:basedOn w:val="Normal"/>
    <w:next w:val="BMKMemberFirmName"/>
    <w:semiHidden/>
    <w:rsid w:val="00E739EA"/>
    <w:pPr>
      <w:spacing w:line="200" w:lineRule="atLeast"/>
    </w:pPr>
    <w:rPr>
      <w:rFonts w:ascii="Arial Black" w:hAnsi="Arial Black" w:eastAsiaTheme="majorEastAsia" w:cstheme="majorHAnsi"/>
      <w:b/>
      <w:noProof/>
      <w:sz w:val="18"/>
      <w:szCs w:val="32"/>
    </w:rPr>
  </w:style>
  <w:style w:type="paragraph" w:styleId="NormalWeb">
    <w:name w:val="Normal (Web)"/>
    <w:basedOn w:val="Normal"/>
    <w:uiPriority w:val="99"/>
    <w:semiHidden/>
    <w:rsid w:val="00E739EA"/>
    <w:rPr>
      <w:sz w:val="24"/>
      <w:szCs w:val="24"/>
    </w:rPr>
  </w:style>
  <w:style w:type="character" w:styleId="FooterChar" w:customStyle="1">
    <w:name w:val="Footer Char"/>
    <w:link w:val="Footer"/>
    <w:uiPriority w:val="99"/>
    <w:rsid w:val="00E739EA"/>
    <w:rPr>
      <w:rFonts w:asciiTheme="majorHAnsi" w:hAnsiTheme="majorHAnsi" w:eastAsiaTheme="majorEastAsia" w:cstheme="majorHAnsi"/>
      <w:noProof/>
      <w:sz w:val="16"/>
    </w:rPr>
  </w:style>
  <w:style w:type="paragraph" w:styleId="BMKDocumentName" w:customStyle="1">
    <w:name w:val="BMK Document Name"/>
    <w:basedOn w:val="Normal"/>
    <w:next w:val="Normal"/>
    <w:semiHidden/>
    <w:rsid w:val="00E739EA"/>
    <w:pPr>
      <w:tabs>
        <w:tab w:val="left" w:pos="2761"/>
        <w:tab w:val="left" w:pos="3470"/>
        <w:tab w:val="left" w:pos="4179"/>
        <w:tab w:val="left" w:pos="4888"/>
        <w:tab w:val="right" w:pos="9849"/>
      </w:tabs>
      <w:spacing w:line="200" w:lineRule="atLeast"/>
    </w:pPr>
    <w:rPr>
      <w:rFonts w:ascii="Arial Black" w:hAnsi="Arial Black"/>
      <w:b/>
      <w:bCs/>
      <w:noProof/>
      <w:sz w:val="18"/>
    </w:rPr>
  </w:style>
  <w:style w:type="paragraph" w:styleId="BMKHeaderLogoSHI" w:customStyle="1">
    <w:name w:val="BMKHeaderLogoSHI"/>
    <w:semiHidden/>
    <w:rsid w:val="00E739EA"/>
    <w:pPr>
      <w:tabs>
        <w:tab w:val="left" w:pos="709"/>
        <w:tab w:val="left" w:pos="1418"/>
        <w:tab w:val="left" w:pos="2126"/>
        <w:tab w:val="left" w:pos="2835"/>
        <w:tab w:val="right" w:pos="7876"/>
      </w:tabs>
      <w:spacing w:after="140" w:line="260" w:lineRule="atLeast"/>
    </w:pPr>
    <w:rPr>
      <w:rFonts w:eastAsiaTheme="minorEastAsia" w:cstheme="minorHAnsi"/>
      <w:szCs w:val="24"/>
    </w:rPr>
  </w:style>
  <w:style w:type="paragraph" w:styleId="BMKPrivacyTitle" w:customStyle="1">
    <w:name w:val="BMK Privacy Title"/>
    <w:basedOn w:val="Normal"/>
    <w:semiHidden/>
    <w:rsid w:val="00E739EA"/>
    <w:pPr>
      <w:spacing w:before="260" w:after="140" w:line="240" w:lineRule="atLeast"/>
    </w:pPr>
    <w:rPr>
      <w:rFonts w:ascii="Arial Black" w:hAnsi="Arial Black"/>
      <w:sz w:val="18"/>
    </w:rPr>
  </w:style>
  <w:style w:type="character" w:styleId="BMKPrivacyTextChar" w:customStyle="1">
    <w:name w:val="BMK Privacy Text Char"/>
    <w:link w:val="BMKPrivacyText"/>
    <w:semiHidden/>
    <w:rsid w:val="00E739EA"/>
    <w:rPr>
      <w:rFonts w:asciiTheme="majorHAnsi" w:hAnsiTheme="majorHAnsi" w:eastAsiaTheme="majorEastAsia" w:cstheme="majorHAnsi"/>
      <w:noProof/>
      <w:sz w:val="16"/>
    </w:rPr>
  </w:style>
  <w:style w:type="paragraph" w:styleId="BodyTextFirstIndent">
    <w:name w:val="Body Text First Indent"/>
    <w:basedOn w:val="BodyText"/>
    <w:uiPriority w:val="6"/>
    <w:semiHidden/>
    <w:rsid w:val="00E739EA"/>
    <w:pPr>
      <w:spacing w:after="120"/>
      <w:ind w:firstLine="210"/>
    </w:pPr>
  </w:style>
  <w:style w:type="paragraph" w:styleId="FooterIndent" w:customStyle="1">
    <w:name w:val="Footer Indent"/>
    <w:basedOn w:val="Footer"/>
    <w:semiHidden/>
    <w:rsid w:val="00E739EA"/>
    <w:pPr>
      <w:ind w:left="1208"/>
    </w:pPr>
  </w:style>
  <w:style w:type="paragraph" w:styleId="BMKCitiesSpace" w:customStyle="1">
    <w:name w:val="BMK Cities Space"/>
    <w:basedOn w:val="BMKCities"/>
    <w:semiHidden/>
    <w:rsid w:val="00E739EA"/>
  </w:style>
  <w:style w:type="character" w:styleId="Hyperlink">
    <w:name w:val="Hyperlink"/>
    <w:uiPriority w:val="6"/>
    <w:semiHidden/>
    <w:rsid w:val="00E739EA"/>
    <w:rPr>
      <w:color w:val="0000FF"/>
      <w:u w:val="single"/>
    </w:rPr>
  </w:style>
  <w:style w:type="paragraph" w:styleId="BMKSalutation" w:customStyle="1">
    <w:name w:val="BMK Salutation"/>
    <w:basedOn w:val="Normal"/>
    <w:semiHidden/>
    <w:rsid w:val="00E739EA"/>
    <w:pPr>
      <w:spacing w:line="260" w:lineRule="atLeast"/>
    </w:pPr>
  </w:style>
  <w:style w:type="paragraph" w:styleId="BMKDate" w:customStyle="1">
    <w:name w:val="BMKDate"/>
    <w:basedOn w:val="Normal"/>
    <w:semiHidden/>
    <w:rsid w:val="00E739EA"/>
    <w:pPr>
      <w:spacing w:line="260" w:lineRule="atLeast"/>
    </w:pPr>
  </w:style>
  <w:style w:type="paragraph" w:styleId="BMKAddress1" w:customStyle="1">
    <w:name w:val="BMK Address1"/>
    <w:basedOn w:val="Normal"/>
    <w:semiHidden/>
    <w:rsid w:val="00E739EA"/>
    <w:pPr>
      <w:spacing w:line="260" w:lineRule="atLeast"/>
    </w:pPr>
  </w:style>
  <w:style w:type="paragraph" w:styleId="BMKAttention" w:customStyle="1">
    <w:name w:val="BMK Attention"/>
    <w:basedOn w:val="Normal"/>
    <w:semiHidden/>
    <w:rsid w:val="00E739EA"/>
    <w:pPr>
      <w:spacing w:line="260" w:lineRule="atLeast"/>
    </w:pPr>
  </w:style>
  <w:style w:type="paragraph" w:styleId="BMKSubtitle" w:customStyle="1">
    <w:name w:val="BMK Subtitle"/>
    <w:basedOn w:val="Normal"/>
    <w:next w:val="BodyText"/>
    <w:semiHidden/>
    <w:rsid w:val="00E739EA"/>
    <w:pPr>
      <w:spacing w:after="180" w:line="260" w:lineRule="atLeast"/>
    </w:pPr>
    <w:rPr>
      <w:rFonts w:asciiTheme="majorHAnsi" w:hAnsiTheme="majorHAnsi" w:eastAsiaTheme="majorEastAsia" w:cstheme="majorHAnsi"/>
      <w:sz w:val="32"/>
    </w:rPr>
  </w:style>
  <w:style w:type="paragraph" w:styleId="BMKTitle" w:customStyle="1">
    <w:name w:val="BMK Title"/>
    <w:basedOn w:val="Normal"/>
    <w:next w:val="BodyText"/>
    <w:semiHidden/>
    <w:rsid w:val="00E739EA"/>
    <w:pPr>
      <w:spacing w:after="180" w:line="260" w:lineRule="atLeast"/>
    </w:pPr>
    <w:rPr>
      <w:rFonts w:asciiTheme="majorHAnsi" w:hAnsiTheme="majorHAnsi" w:eastAsiaTheme="majorEastAsia" w:cstheme="majorHAnsi"/>
      <w:sz w:val="48"/>
    </w:rPr>
  </w:style>
  <w:style w:type="character" w:styleId="BookTitle">
    <w:name w:val="Book Title"/>
    <w:basedOn w:val="DefaultParagraphFont"/>
    <w:uiPriority w:val="33"/>
    <w:semiHidden/>
    <w:rsid w:val="00E739EA"/>
    <w:rPr>
      <w:b/>
      <w:bCs/>
      <w:smallCaps/>
      <w:spacing w:val="5"/>
    </w:rPr>
  </w:style>
  <w:style w:type="character" w:styleId="Strong">
    <w:name w:val="Strong"/>
    <w:basedOn w:val="DefaultParagraphFont"/>
    <w:semiHidden/>
    <w:rsid w:val="00E739EA"/>
    <w:rPr>
      <w:b/>
      <w:bCs/>
    </w:rPr>
  </w:style>
  <w:style w:type="character" w:styleId="SubtleEmphasis">
    <w:name w:val="Subtle Emphasis"/>
    <w:basedOn w:val="DefaultParagraphFont"/>
    <w:uiPriority w:val="19"/>
    <w:semiHidden/>
    <w:rsid w:val="00E739EA"/>
    <w:rPr>
      <w:i/>
      <w:iCs/>
      <w:color w:val="808080" w:themeColor="text1" w:themeTint="7F"/>
    </w:rPr>
  </w:style>
  <w:style w:type="character" w:styleId="SubtleReference">
    <w:name w:val="Subtle Reference"/>
    <w:basedOn w:val="DefaultParagraphFont"/>
    <w:uiPriority w:val="31"/>
    <w:semiHidden/>
    <w:rsid w:val="00E739EA"/>
    <w:rPr>
      <w:smallCaps/>
      <w:color w:val="AE132A" w:themeColor="accent2"/>
      <w:u w:val="single"/>
    </w:rPr>
  </w:style>
  <w:style w:type="paragraph" w:styleId="NoSpacing">
    <w:name w:val="No Spacing"/>
    <w:uiPriority w:val="6"/>
    <w:semiHidden/>
    <w:rsid w:val="00E739EA"/>
    <w:pPr>
      <w:tabs>
        <w:tab w:val="left" w:pos="709"/>
        <w:tab w:val="left" w:pos="1418"/>
        <w:tab w:val="left" w:pos="2126"/>
        <w:tab w:val="left" w:pos="2835"/>
        <w:tab w:val="right" w:pos="7876"/>
      </w:tabs>
    </w:pPr>
    <w:rPr>
      <w:rFonts w:eastAsiaTheme="minorEastAsia" w:cstheme="minorHAnsi"/>
      <w:szCs w:val="24"/>
    </w:rPr>
  </w:style>
  <w:style w:type="character" w:styleId="IntenseEmphasis">
    <w:name w:val="Intense Emphasis"/>
    <w:basedOn w:val="DefaultParagraphFont"/>
    <w:uiPriority w:val="21"/>
    <w:semiHidden/>
    <w:rsid w:val="00E739EA"/>
    <w:rPr>
      <w:b/>
      <w:bCs/>
      <w:i/>
      <w:iCs/>
      <w:color w:val="EE3135" w:themeColor="accent1"/>
    </w:rPr>
  </w:style>
  <w:style w:type="paragraph" w:styleId="IntenseQuote">
    <w:name w:val="Intense Quote"/>
    <w:basedOn w:val="Normal"/>
    <w:next w:val="Normal"/>
    <w:link w:val="IntenseQuoteChar"/>
    <w:uiPriority w:val="30"/>
    <w:semiHidden/>
    <w:rsid w:val="00E739EA"/>
    <w:pPr>
      <w:pBdr>
        <w:bottom w:val="single" w:color="EE3135" w:themeColor="accent1" w:sz="4" w:space="4"/>
      </w:pBdr>
      <w:spacing w:before="200" w:after="280"/>
      <w:ind w:left="936" w:right="936"/>
    </w:pPr>
    <w:rPr>
      <w:b/>
      <w:bCs/>
      <w:i/>
      <w:iCs/>
      <w:color w:val="EE3135" w:themeColor="accent1"/>
    </w:rPr>
  </w:style>
  <w:style w:type="character" w:styleId="IntenseQuoteChar" w:customStyle="1">
    <w:name w:val="Intense Quote Char"/>
    <w:basedOn w:val="DefaultParagraphFont"/>
    <w:link w:val="IntenseQuote"/>
    <w:uiPriority w:val="30"/>
    <w:semiHidden/>
    <w:rsid w:val="00E739EA"/>
    <w:rPr>
      <w:rFonts w:eastAsiaTheme="minorEastAsia"/>
      <w:b/>
      <w:bCs/>
      <w:i/>
      <w:iCs/>
      <w:color w:val="EE3135" w:themeColor="accent1"/>
      <w:szCs w:val="28"/>
    </w:rPr>
  </w:style>
  <w:style w:type="paragraph" w:styleId="Quote">
    <w:name w:val="Quote"/>
    <w:basedOn w:val="Normal"/>
    <w:next w:val="Normal"/>
    <w:link w:val="QuoteChar"/>
    <w:uiPriority w:val="29"/>
    <w:semiHidden/>
    <w:rsid w:val="00E739EA"/>
    <w:rPr>
      <w:i/>
      <w:iCs/>
      <w:color w:val="000000" w:themeColor="text1"/>
    </w:rPr>
  </w:style>
  <w:style w:type="character" w:styleId="QuoteChar" w:customStyle="1">
    <w:name w:val="Quote Char"/>
    <w:basedOn w:val="DefaultParagraphFont"/>
    <w:link w:val="Quote"/>
    <w:uiPriority w:val="29"/>
    <w:semiHidden/>
    <w:rsid w:val="00E739EA"/>
    <w:rPr>
      <w:rFonts w:eastAsiaTheme="minorEastAsia"/>
      <w:i/>
      <w:iCs/>
      <w:color w:val="000000" w:themeColor="text1"/>
      <w:szCs w:val="28"/>
    </w:rPr>
  </w:style>
  <w:style w:type="character" w:styleId="IntenseReference">
    <w:name w:val="Intense Reference"/>
    <w:basedOn w:val="DefaultParagraphFont"/>
    <w:uiPriority w:val="32"/>
    <w:semiHidden/>
    <w:rsid w:val="00E739EA"/>
    <w:rPr>
      <w:b/>
      <w:bCs/>
      <w:smallCaps/>
      <w:color w:val="AE132A" w:themeColor="accent2"/>
      <w:spacing w:val="5"/>
      <w:u w:val="single"/>
    </w:rPr>
  </w:style>
  <w:style w:type="paragraph" w:styleId="ListParagraph">
    <w:name w:val="List Paragraph"/>
    <w:basedOn w:val="Normal"/>
    <w:uiPriority w:val="34"/>
    <w:semiHidden/>
    <w:rsid w:val="00E739EA"/>
    <w:pPr>
      <w:ind w:left="720"/>
      <w:contextualSpacing/>
    </w:pPr>
  </w:style>
  <w:style w:type="paragraph" w:styleId="SubHeading" w:customStyle="1">
    <w:name w:val="Sub Heading"/>
    <w:basedOn w:val="Normal"/>
    <w:next w:val="BodyText"/>
    <w:rsid w:val="00E739EA"/>
    <w:pPr>
      <w:keepNext/>
      <w:spacing w:after="180" w:line="260" w:lineRule="atLeast"/>
    </w:pPr>
    <w:rPr>
      <w:rFonts w:asciiTheme="majorHAnsi" w:hAnsiTheme="majorHAnsi" w:eastAsiaTheme="majorEastAsia" w:cstheme="majorHAnsi"/>
      <w:b/>
      <w:bCs/>
    </w:rPr>
  </w:style>
  <w:style w:type="paragraph" w:styleId="Da" w:customStyle="1">
    <w:name w:val="D(a)"/>
    <w:basedOn w:val="Normal"/>
    <w:uiPriority w:val="4"/>
    <w:rsid w:val="00E739EA"/>
    <w:pPr>
      <w:numPr>
        <w:ilvl w:val="1"/>
        <w:numId w:val="6"/>
      </w:numPr>
      <w:spacing w:after="180" w:line="260" w:lineRule="atLeast"/>
    </w:pPr>
  </w:style>
  <w:style w:type="paragraph" w:styleId="DA0" w:customStyle="1">
    <w:name w:val="D(A)"/>
    <w:basedOn w:val="Normal"/>
    <w:uiPriority w:val="6"/>
    <w:rsid w:val="00E739EA"/>
    <w:pPr>
      <w:numPr>
        <w:ilvl w:val="3"/>
        <w:numId w:val="6"/>
      </w:numPr>
      <w:spacing w:after="180" w:line="260" w:lineRule="atLeast"/>
    </w:pPr>
  </w:style>
  <w:style w:type="paragraph" w:styleId="Di" w:customStyle="1">
    <w:name w:val="D(i)"/>
    <w:basedOn w:val="Normal"/>
    <w:uiPriority w:val="5"/>
    <w:rsid w:val="00E739EA"/>
    <w:pPr>
      <w:numPr>
        <w:ilvl w:val="2"/>
        <w:numId w:val="6"/>
      </w:numPr>
      <w:spacing w:after="180" w:line="260" w:lineRule="atLeast"/>
    </w:pPr>
  </w:style>
  <w:style w:type="paragraph" w:styleId="DefinitionParagraph" w:customStyle="1">
    <w:name w:val="Definition Paragraph"/>
    <w:basedOn w:val="Normal"/>
    <w:uiPriority w:val="2"/>
    <w:rsid w:val="00E739EA"/>
    <w:pPr>
      <w:numPr>
        <w:numId w:val="6"/>
      </w:numPr>
      <w:spacing w:after="180" w:line="260" w:lineRule="atLeast"/>
    </w:pPr>
  </w:style>
  <w:style w:type="paragraph" w:styleId="SchH1" w:customStyle="1">
    <w:name w:val="SchH1"/>
    <w:basedOn w:val="Normal"/>
    <w:next w:val="BodyText"/>
    <w:uiPriority w:val="6"/>
    <w:rsid w:val="00E739EA"/>
    <w:pPr>
      <w:keepNext/>
      <w:numPr>
        <w:numId w:val="33"/>
      </w:numPr>
      <w:spacing w:after="180" w:line="260" w:lineRule="atLeast"/>
    </w:pPr>
    <w:rPr>
      <w:rFonts w:asciiTheme="majorHAnsi" w:hAnsiTheme="majorHAnsi" w:eastAsiaTheme="majorEastAsia" w:cstheme="majorHAnsi"/>
      <w:b/>
      <w:bCs/>
    </w:rPr>
  </w:style>
  <w:style w:type="paragraph" w:styleId="SchH2" w:customStyle="1">
    <w:name w:val="SchH2"/>
    <w:basedOn w:val="Normal"/>
    <w:next w:val="BodyText"/>
    <w:uiPriority w:val="6"/>
    <w:rsid w:val="00E739EA"/>
    <w:pPr>
      <w:keepNext/>
      <w:numPr>
        <w:ilvl w:val="1"/>
        <w:numId w:val="33"/>
      </w:numPr>
      <w:spacing w:after="180" w:line="260" w:lineRule="atLeast"/>
    </w:pPr>
    <w:rPr>
      <w:rFonts w:asciiTheme="majorHAnsi" w:hAnsiTheme="majorHAnsi" w:eastAsiaTheme="majorEastAsia" w:cstheme="majorHAnsi"/>
      <w:b/>
      <w:bCs/>
    </w:rPr>
  </w:style>
  <w:style w:type="paragraph" w:styleId="SchH3" w:customStyle="1">
    <w:name w:val="SchH3"/>
    <w:basedOn w:val="Normal"/>
    <w:uiPriority w:val="6"/>
    <w:rsid w:val="00E739EA"/>
    <w:pPr>
      <w:numPr>
        <w:ilvl w:val="2"/>
        <w:numId w:val="33"/>
      </w:numPr>
      <w:spacing w:after="180" w:line="260" w:lineRule="atLeast"/>
    </w:pPr>
  </w:style>
  <w:style w:type="paragraph" w:styleId="SchH4" w:customStyle="1">
    <w:name w:val="SchH4"/>
    <w:basedOn w:val="Normal"/>
    <w:uiPriority w:val="6"/>
    <w:rsid w:val="00E739EA"/>
    <w:pPr>
      <w:numPr>
        <w:ilvl w:val="3"/>
        <w:numId w:val="33"/>
      </w:numPr>
      <w:spacing w:after="180" w:line="260" w:lineRule="atLeast"/>
    </w:pPr>
  </w:style>
  <w:style w:type="paragraph" w:styleId="SchH5" w:customStyle="1">
    <w:name w:val="SchH5"/>
    <w:basedOn w:val="Normal"/>
    <w:uiPriority w:val="6"/>
    <w:rsid w:val="00E739EA"/>
    <w:pPr>
      <w:numPr>
        <w:ilvl w:val="4"/>
        <w:numId w:val="33"/>
      </w:numPr>
      <w:spacing w:after="180" w:line="260" w:lineRule="atLeast"/>
    </w:pPr>
  </w:style>
  <w:style w:type="paragraph" w:styleId="SchH6" w:customStyle="1">
    <w:name w:val="SchH6"/>
    <w:basedOn w:val="Normal"/>
    <w:uiPriority w:val="6"/>
    <w:rsid w:val="00E739EA"/>
    <w:pPr>
      <w:numPr>
        <w:ilvl w:val="5"/>
        <w:numId w:val="33"/>
      </w:numPr>
      <w:spacing w:after="180" w:line="260" w:lineRule="atLeast"/>
    </w:pPr>
  </w:style>
  <w:style w:type="paragraph" w:styleId="SchSH" w:customStyle="1">
    <w:name w:val="SchSH"/>
    <w:basedOn w:val="Normal"/>
    <w:next w:val="BodyText"/>
    <w:uiPriority w:val="6"/>
    <w:rsid w:val="00E739EA"/>
    <w:pPr>
      <w:keepNext/>
      <w:spacing w:after="180" w:line="260" w:lineRule="atLeast"/>
    </w:pPr>
    <w:rPr>
      <w:rFonts w:asciiTheme="majorHAnsi" w:hAnsiTheme="majorHAnsi" w:eastAsiaTheme="majorEastAsia" w:cstheme="majorHAnsi"/>
      <w:b/>
    </w:rPr>
  </w:style>
  <w:style w:type="paragraph" w:styleId="TOC1">
    <w:name w:val="toc 1"/>
    <w:basedOn w:val="Normal"/>
    <w:next w:val="Normal"/>
    <w:autoRedefine/>
    <w:uiPriority w:val="39"/>
    <w:semiHidden/>
    <w:rsid w:val="00E739EA"/>
    <w:pPr>
      <w:spacing w:before="180" w:line="260" w:lineRule="atLeast"/>
      <w:ind w:left="562" w:right="288" w:hanging="562"/>
    </w:pPr>
    <w:rPr>
      <w:rFonts w:asciiTheme="majorHAnsi" w:hAnsiTheme="majorHAnsi" w:eastAsiaTheme="majorEastAsia" w:cstheme="majorHAnsi"/>
      <w:b/>
    </w:rPr>
  </w:style>
  <w:style w:type="paragraph" w:styleId="TOC2">
    <w:name w:val="toc 2"/>
    <w:basedOn w:val="Normal"/>
    <w:next w:val="Normal"/>
    <w:autoRedefine/>
    <w:uiPriority w:val="39"/>
    <w:semiHidden/>
    <w:rsid w:val="00E739EA"/>
    <w:pPr>
      <w:spacing w:before="180" w:line="260" w:lineRule="atLeast"/>
      <w:ind w:left="1124" w:right="288" w:hanging="562"/>
    </w:pPr>
    <w:rPr>
      <w:rFonts w:asciiTheme="majorHAnsi" w:hAnsiTheme="majorHAnsi" w:eastAsiaTheme="majorEastAsia" w:cstheme="majorHAnsi"/>
      <w:b/>
    </w:rPr>
  </w:style>
  <w:style w:type="paragraph" w:styleId="TOC3">
    <w:name w:val="toc 3"/>
    <w:basedOn w:val="Normal"/>
    <w:next w:val="Normal"/>
    <w:autoRedefine/>
    <w:uiPriority w:val="39"/>
    <w:semiHidden/>
    <w:rsid w:val="00E739EA"/>
    <w:pPr>
      <w:spacing w:before="180" w:line="260" w:lineRule="atLeast"/>
      <w:ind w:left="1700" w:right="288" w:hanging="562"/>
    </w:pPr>
    <w:rPr>
      <w:rFonts w:asciiTheme="majorHAnsi" w:hAnsiTheme="majorHAnsi" w:eastAsiaTheme="majorEastAsia" w:cstheme="majorHAnsi"/>
      <w:b/>
    </w:rPr>
  </w:style>
  <w:style w:type="paragraph" w:styleId="TOC4">
    <w:name w:val="toc 4"/>
    <w:basedOn w:val="Normal"/>
    <w:next w:val="Normal"/>
    <w:autoRedefine/>
    <w:semiHidden/>
    <w:rsid w:val="00E739EA"/>
    <w:pPr>
      <w:spacing w:line="260" w:lineRule="atLeast"/>
      <w:ind w:left="1418"/>
    </w:pPr>
    <w:rPr>
      <w:rFonts w:asciiTheme="majorHAnsi" w:hAnsiTheme="majorHAnsi" w:eastAsiaTheme="majorEastAsia" w:cstheme="majorHAnsi"/>
      <w:szCs w:val="20"/>
    </w:rPr>
  </w:style>
  <w:style w:type="numbering" w:styleId="BMHeadings" w:customStyle="1">
    <w:name w:val="B&amp;M Headings"/>
    <w:uiPriority w:val="99"/>
    <w:rsid w:val="00E739EA"/>
    <w:pPr>
      <w:numPr>
        <w:numId w:val="3"/>
      </w:numPr>
    </w:pPr>
  </w:style>
  <w:style w:type="numbering" w:styleId="BMListNumbers" w:customStyle="1">
    <w:name w:val="B&amp;M List Numbers"/>
    <w:uiPriority w:val="99"/>
    <w:rsid w:val="00E739EA"/>
    <w:pPr>
      <w:numPr>
        <w:numId w:val="4"/>
      </w:numPr>
    </w:pPr>
  </w:style>
  <w:style w:type="numbering" w:styleId="BMSchedules" w:customStyle="1">
    <w:name w:val="B&amp;M Schedules"/>
    <w:uiPriority w:val="99"/>
    <w:rsid w:val="00E739EA"/>
    <w:pPr>
      <w:numPr>
        <w:numId w:val="5"/>
      </w:numPr>
    </w:pPr>
  </w:style>
  <w:style w:type="numbering" w:styleId="BMDefinitions" w:customStyle="1">
    <w:name w:val="B&amp;M Definitions"/>
    <w:uiPriority w:val="99"/>
    <w:rsid w:val="00E739EA"/>
    <w:pPr>
      <w:numPr>
        <w:numId w:val="6"/>
      </w:numPr>
    </w:pPr>
  </w:style>
  <w:style w:type="paragraph" w:styleId="TOCHeading" w:customStyle="1">
    <w:name w:val="TOCHeading"/>
    <w:basedOn w:val="Normal"/>
    <w:next w:val="BodyText"/>
    <w:uiPriority w:val="11"/>
    <w:semiHidden/>
    <w:rsid w:val="00E739EA"/>
    <w:pPr>
      <w:pBdr>
        <w:bottom w:val="single" w:color="auto" w:sz="4" w:space="9"/>
      </w:pBdr>
      <w:spacing w:after="180" w:line="260" w:lineRule="exact"/>
    </w:pPr>
    <w:rPr>
      <w:rFonts w:asciiTheme="majorHAnsi" w:hAnsiTheme="majorHAnsi" w:eastAsiaTheme="majorEastAsia" w:cstheme="majorHAnsi"/>
      <w:b/>
      <w:bCs/>
      <w:sz w:val="24"/>
    </w:rPr>
  </w:style>
  <w:style w:type="paragraph" w:styleId="TOC5">
    <w:name w:val="toc 5"/>
    <w:basedOn w:val="Normal"/>
    <w:next w:val="Normal"/>
    <w:autoRedefine/>
    <w:semiHidden/>
    <w:rsid w:val="00E739EA"/>
    <w:pPr>
      <w:spacing w:after="100"/>
      <w:ind w:left="880"/>
    </w:pPr>
  </w:style>
  <w:style w:type="paragraph" w:styleId="TOC6">
    <w:name w:val="toc 6"/>
    <w:basedOn w:val="Normal"/>
    <w:next w:val="Normal"/>
    <w:autoRedefine/>
    <w:semiHidden/>
    <w:rsid w:val="00E739EA"/>
    <w:pPr>
      <w:spacing w:after="100"/>
      <w:ind w:left="1100"/>
    </w:pPr>
  </w:style>
  <w:style w:type="paragraph" w:styleId="TOC7">
    <w:name w:val="toc 7"/>
    <w:basedOn w:val="Normal"/>
    <w:next w:val="Normal"/>
    <w:autoRedefine/>
    <w:semiHidden/>
    <w:rsid w:val="00E739EA"/>
    <w:pPr>
      <w:spacing w:after="100"/>
      <w:ind w:left="1320"/>
    </w:pPr>
  </w:style>
  <w:style w:type="paragraph" w:styleId="TOC8">
    <w:name w:val="toc 8"/>
    <w:basedOn w:val="Normal"/>
    <w:next w:val="Normal"/>
    <w:autoRedefine/>
    <w:semiHidden/>
    <w:rsid w:val="00E739EA"/>
    <w:pPr>
      <w:spacing w:after="100"/>
      <w:ind w:left="1540"/>
    </w:pPr>
  </w:style>
  <w:style w:type="paragraph" w:styleId="TOC9">
    <w:name w:val="toc 9"/>
    <w:basedOn w:val="Normal"/>
    <w:next w:val="Normal"/>
    <w:autoRedefine/>
    <w:semiHidden/>
    <w:rsid w:val="00E739EA"/>
    <w:pPr>
      <w:spacing w:after="100"/>
      <w:ind w:left="1760"/>
    </w:pPr>
  </w:style>
  <w:style w:type="character" w:styleId="Heading7Char" w:customStyle="1">
    <w:name w:val="Heading 7 Char"/>
    <w:basedOn w:val="DefaultParagraphFont"/>
    <w:link w:val="Heading7"/>
    <w:rsid w:val="00E739EA"/>
    <w:rPr>
      <w:rFonts w:eastAsiaTheme="minorEastAsia"/>
      <w:szCs w:val="28"/>
    </w:rPr>
  </w:style>
  <w:style w:type="paragraph" w:styleId="Recital" w:customStyle="1">
    <w:name w:val="Recital"/>
    <w:basedOn w:val="Normal"/>
    <w:uiPriority w:val="7"/>
    <w:rsid w:val="00E739EA"/>
    <w:pPr>
      <w:numPr>
        <w:numId w:val="30"/>
      </w:numPr>
      <w:spacing w:after="180" w:line="260" w:lineRule="atLeast"/>
    </w:pPr>
    <w:rPr>
      <w:rFonts w:cs="Times New Roman"/>
    </w:rPr>
  </w:style>
  <w:style w:type="character" w:styleId="DMReference" w:customStyle="1">
    <w:name w:val="DMReference"/>
    <w:basedOn w:val="FooterChar"/>
    <w:semiHidden/>
    <w:rsid w:val="00E739EA"/>
    <w:rPr>
      <w:rFonts w:asciiTheme="majorHAnsi" w:hAnsiTheme="majorHAnsi" w:eastAsiaTheme="majorEastAsia" w:cstheme="majorHAnsi"/>
      <w:noProof/>
      <w:sz w:val="16"/>
      <w:szCs w:val="16"/>
    </w:rPr>
  </w:style>
  <w:style w:type="paragraph" w:styleId="BodyTextIndent">
    <w:name w:val="Body Text Indent"/>
    <w:basedOn w:val="Normal"/>
    <w:link w:val="BodyTextIndentChar"/>
    <w:rsid w:val="00E739EA"/>
    <w:pPr>
      <w:spacing w:after="180" w:line="260" w:lineRule="exact"/>
      <w:ind w:left="709"/>
    </w:pPr>
  </w:style>
  <w:style w:type="character" w:styleId="BodyTextIndentChar" w:customStyle="1">
    <w:name w:val="Body Text Indent Char"/>
    <w:basedOn w:val="DefaultParagraphFont"/>
    <w:link w:val="BodyTextIndent"/>
    <w:rsid w:val="00E739EA"/>
    <w:rPr>
      <w:rFonts w:eastAsiaTheme="minorEastAsia"/>
      <w:szCs w:val="28"/>
    </w:rPr>
  </w:style>
  <w:style w:type="paragraph" w:styleId="BodyTextIndent4" w:customStyle="1">
    <w:name w:val="Body Text Indent 4"/>
    <w:basedOn w:val="BodyTextIndent"/>
    <w:qFormat/>
    <w:rsid w:val="00E739EA"/>
    <w:pPr>
      <w:numPr>
        <w:ilvl w:val="2"/>
      </w:numPr>
      <w:spacing w:line="260" w:lineRule="atLeast"/>
      <w:ind w:left="1418"/>
    </w:pPr>
    <w:rPr>
      <w:rFonts w:cs="Times New Roman"/>
    </w:rPr>
  </w:style>
  <w:style w:type="paragraph" w:styleId="BodyTextIndent5" w:customStyle="1">
    <w:name w:val="Body Text Indent 5"/>
    <w:basedOn w:val="BodyTextIndent4"/>
    <w:qFormat/>
    <w:rsid w:val="00E739EA"/>
    <w:pPr>
      <w:numPr>
        <w:ilvl w:val="3"/>
      </w:numPr>
      <w:ind w:left="2126"/>
    </w:pPr>
  </w:style>
  <w:style w:type="paragraph" w:styleId="BodyTextIndent6" w:customStyle="1">
    <w:name w:val="Body Text Indent 6"/>
    <w:basedOn w:val="BodyTextIndent5"/>
    <w:qFormat/>
    <w:rsid w:val="00E739EA"/>
    <w:pPr>
      <w:numPr>
        <w:ilvl w:val="4"/>
      </w:numPr>
      <w:ind w:left="2835"/>
    </w:pPr>
  </w:style>
  <w:style w:type="paragraph" w:styleId="TableCopy" w:customStyle="1">
    <w:name w:val="Table Copy"/>
    <w:basedOn w:val="Normal"/>
    <w:uiPriority w:val="8"/>
    <w:semiHidden/>
    <w:rsid w:val="00E739EA"/>
    <w:pPr>
      <w:spacing w:before="120" w:after="120" w:line="240" w:lineRule="atLeast"/>
    </w:pPr>
    <w:rPr>
      <w:rFonts w:ascii="Arial" w:hAnsi="Arial"/>
      <w:color w:val="5F5F5F"/>
      <w:sz w:val="20"/>
      <w:szCs w:val="26"/>
    </w:rPr>
  </w:style>
  <w:style w:type="paragraph" w:styleId="TableHeadings" w:customStyle="1">
    <w:name w:val="Table Headings"/>
    <w:basedOn w:val="Normal"/>
    <w:uiPriority w:val="8"/>
    <w:semiHidden/>
    <w:rsid w:val="00E739EA"/>
    <w:pPr>
      <w:numPr>
        <w:numId w:val="31"/>
      </w:numPr>
      <w:spacing w:before="120" w:after="60" w:line="240" w:lineRule="atLeast"/>
    </w:pPr>
    <w:rPr>
      <w:rFonts w:ascii="Arial" w:hAnsi="Arial"/>
      <w:b/>
      <w:sz w:val="20"/>
      <w:szCs w:val="26"/>
    </w:rPr>
  </w:style>
  <w:style w:type="paragraph" w:styleId="SchH7" w:customStyle="1">
    <w:name w:val="SchH7"/>
    <w:basedOn w:val="Normal"/>
    <w:uiPriority w:val="6"/>
    <w:rsid w:val="00E739EA"/>
    <w:pPr>
      <w:numPr>
        <w:ilvl w:val="6"/>
        <w:numId w:val="33"/>
      </w:numPr>
      <w:spacing w:after="180" w:line="260" w:lineRule="atLeast"/>
    </w:pPr>
  </w:style>
  <w:style w:type="character" w:styleId="PlaceholderText">
    <w:name w:val="Placeholder Text"/>
    <w:basedOn w:val="DefaultParagraphFont"/>
    <w:uiPriority w:val="99"/>
    <w:semiHidden/>
    <w:rsid w:val="00E739EA"/>
    <w:rPr>
      <w:color w:val="C2C3C4" w:themeColor="background2"/>
    </w:rPr>
  </w:style>
  <w:style w:type="character" w:styleId="FollowedHyperlink">
    <w:name w:val="FollowedHyperlink"/>
    <w:basedOn w:val="DefaultParagraphFont"/>
    <w:unhideWhenUsed/>
    <w:rsid w:val="00E739EA"/>
    <w:rPr>
      <w:color w:val="800080"/>
      <w:u w:val="single"/>
    </w:rPr>
  </w:style>
  <w:style w:type="paragraph" w:styleId="TOCHeading0">
    <w:name w:val="TOC Heading"/>
    <w:basedOn w:val="Heading1"/>
    <w:next w:val="Normal"/>
    <w:uiPriority w:val="39"/>
    <w:semiHidden/>
    <w:unhideWhenUsed/>
    <w:qFormat/>
    <w:rsid w:val="00E739EA"/>
    <w:pPr>
      <w:keepLines/>
      <w:spacing w:before="480"/>
      <w:outlineLvl w:val="9"/>
    </w:pPr>
    <w:rPr>
      <w:rFonts w:cstheme="majorBidi"/>
      <w:color w:val="AE132A" w:themeColor="accent2"/>
      <w:sz w:val="28"/>
    </w:rPr>
  </w:style>
  <w:style w:type="table" w:styleId="TableHorizontalShaded" w:customStyle="1">
    <w:name w:val="Table Horizontal Shaded"/>
    <w:basedOn w:val="TableNormal"/>
    <w:rsid w:val="00E739EA"/>
    <w:pPr>
      <w:spacing w:after="0" w:line="240" w:lineRule="auto"/>
    </w:pPr>
    <w:rPr>
      <w:rFonts w:ascii="Arial" w:hAnsi="Arial" w:eastAsia="Times New Roman" w:cs="Times New Roman"/>
      <w:sz w:val="20"/>
      <w:szCs w:val="20"/>
    </w:rPr>
    <w:tblPr>
      <w:tblInd w:w="113" w:type="dxa"/>
      <w:tblBorders>
        <w:top w:val="single" w:color="002856" w:themeColor="accent4" w:sz="4" w:space="0"/>
        <w:bottom w:val="single" w:color="002856" w:themeColor="accent4" w:sz="4" w:space="0"/>
        <w:insideH w:val="single" w:color="002856" w:themeColor="accent4" w:sz="4" w:space="0"/>
        <w:insideV w:val="single" w:color="002856" w:themeColor="accent4" w:sz="4" w:space="0"/>
      </w:tblBorders>
      <w:tblCellMar>
        <w:bottom w:w="57" w:type="dxa"/>
        <w:right w:w="57" w:type="dxa"/>
      </w:tblCellMar>
    </w:tblPr>
    <w:tcPr>
      <w:shd w:val="clear" w:color="auto" w:fill="auto"/>
    </w:tcPr>
    <w:tblStylePr w:type="firstRow">
      <w:rPr>
        <w:b w:val="0"/>
        <w:color w:val="FFFFFF"/>
      </w:rPr>
      <w:tblPr/>
      <w:tcPr>
        <w:tcBorders>
          <w:insideV w:val="single" w:color="FFFFFF" w:themeColor="background1" w:sz="4" w:space="0"/>
        </w:tcBorders>
        <w:shd w:val="clear" w:color="auto" w:fill="002856" w:themeFill="accent4"/>
      </w:tcPr>
    </w:tblStylePr>
  </w:style>
  <w:style w:type="table" w:styleId="TableGrid">
    <w:name w:val="Table Grid"/>
    <w:basedOn w:val="TableNormal"/>
    <w:uiPriority w:val="39"/>
    <w:rsid w:val="00E739E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semiHidden/>
    <w:unhideWhenUsed/>
    <w:rsid w:val="00E7692C"/>
    <w:rPr>
      <w:sz w:val="16"/>
      <w:szCs w:val="16"/>
    </w:rPr>
  </w:style>
  <w:style w:type="paragraph" w:styleId="CommentText">
    <w:name w:val="annotation text"/>
    <w:basedOn w:val="Normal"/>
    <w:link w:val="CommentTextChar"/>
    <w:unhideWhenUsed/>
    <w:rsid w:val="00E7692C"/>
    <w:rPr>
      <w:sz w:val="20"/>
      <w:szCs w:val="20"/>
      <w:lang w:val="en-GB"/>
    </w:rPr>
  </w:style>
  <w:style w:type="character" w:styleId="CommentTextChar" w:customStyle="1">
    <w:name w:val="Comment Text Char"/>
    <w:basedOn w:val="DefaultParagraphFont"/>
    <w:link w:val="CommentText"/>
    <w:rsid w:val="00E7692C"/>
    <w:rPr>
      <w:rFonts w:eastAsiaTheme="minorEastAsia"/>
      <w:sz w:val="20"/>
      <w:szCs w:val="20"/>
      <w:lang w:val="en-GB"/>
    </w:rPr>
  </w:style>
  <w:style w:type="character" w:styleId="FootnoteTextChar" w:customStyle="1">
    <w:name w:val="Footnote Text Char"/>
    <w:basedOn w:val="DefaultParagraphFont"/>
    <w:link w:val="FootnoteText"/>
    <w:uiPriority w:val="99"/>
    <w:rsid w:val="001B2313"/>
    <w:rPr>
      <w:rFonts w:eastAsiaTheme="minorEastAsia"/>
      <w:sz w:val="18"/>
      <w:szCs w:val="20"/>
      <w:lang w:val="sv-SE"/>
    </w:rPr>
  </w:style>
  <w:style w:type="paragraph" w:styleId="CommentSubject">
    <w:name w:val="annotation subject"/>
    <w:basedOn w:val="CommentText"/>
    <w:next w:val="CommentText"/>
    <w:link w:val="CommentSubjectChar"/>
    <w:semiHidden/>
    <w:unhideWhenUsed/>
    <w:rsid w:val="0014346E"/>
    <w:rPr>
      <w:b/>
      <w:bCs/>
      <w:lang w:val="sv-SE"/>
    </w:rPr>
  </w:style>
  <w:style w:type="character" w:styleId="CommentSubjectChar" w:customStyle="1">
    <w:name w:val="Comment Subject Char"/>
    <w:basedOn w:val="CommentTextChar"/>
    <w:link w:val="CommentSubject"/>
    <w:semiHidden/>
    <w:rsid w:val="0014346E"/>
    <w:rPr>
      <w:rFonts w:eastAsiaTheme="minorEastAsia"/>
      <w:b/>
      <w:bCs/>
      <w:sz w:val="20"/>
      <w:szCs w:val="20"/>
      <w:lang w:val="sv-SE"/>
    </w:rPr>
  </w:style>
  <w:style w:type="paragraph" w:styleId="Revision">
    <w:name w:val="Revision"/>
    <w:hidden/>
    <w:uiPriority w:val="99"/>
    <w:semiHidden/>
    <w:rsid w:val="003569F2"/>
    <w:pPr>
      <w:spacing w:after="0" w:line="240" w:lineRule="auto"/>
    </w:pPr>
    <w:rPr>
      <w:rFonts w:eastAsiaTheme="minorEastAsia"/>
      <w:szCs w:val="28"/>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653754">
      <w:bodyDiv w:val="1"/>
      <w:marLeft w:val="0"/>
      <w:marRight w:val="0"/>
      <w:marTop w:val="0"/>
      <w:marBottom w:val="0"/>
      <w:divBdr>
        <w:top w:val="none" w:sz="0" w:space="0" w:color="auto"/>
        <w:left w:val="none" w:sz="0" w:space="0" w:color="auto"/>
        <w:bottom w:val="none" w:sz="0" w:space="0" w:color="auto"/>
        <w:right w:val="none" w:sz="0" w:space="0" w:color="auto"/>
      </w:divBdr>
    </w:div>
    <w:div w:id="201059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BM.Global\Templates\Global\Correspondence\Blank.dotm" TargetMode="External"/></Relationships>
</file>

<file path=word/theme/theme1.xml><?xml version="1.0" encoding="utf-8"?>
<a:theme xmlns:a="http://schemas.openxmlformats.org/drawingml/2006/main" name="B&amp;M">
  <a:themeElements>
    <a:clrScheme name="B&amp;M">
      <a:dk1>
        <a:srgbClr val="000000"/>
      </a:dk1>
      <a:lt1>
        <a:srgbClr val="FFFFFF"/>
      </a:lt1>
      <a:dk2>
        <a:srgbClr val="5F5F5F"/>
      </a:dk2>
      <a:lt2>
        <a:srgbClr val="C2C3C4"/>
      </a:lt2>
      <a:accent1>
        <a:srgbClr val="EE3135"/>
      </a:accent1>
      <a:accent2>
        <a:srgbClr val="AE132A"/>
      </a:accent2>
      <a:accent3>
        <a:srgbClr val="7A0223"/>
      </a:accent3>
      <a:accent4>
        <a:srgbClr val="002856"/>
      </a:accent4>
      <a:accent5>
        <a:srgbClr val="F58220"/>
      </a:accent5>
      <a:accent6>
        <a:srgbClr val="007B66"/>
      </a:accent6>
      <a:hlink>
        <a:srgbClr val="0000FF"/>
      </a:hlink>
      <a:folHlink>
        <a:srgbClr val="800080"/>
      </a:folHlink>
    </a:clrScheme>
    <a:fontScheme name="B&amp;M">
      <a:majorFont>
        <a:latin typeface="Arial"/>
        <a:ea typeface="PMingLiu"/>
        <a:cs typeface=""/>
        <a:font script="Jpan" typeface="MS Gothic"/>
      </a:majorFont>
      <a:minorFont>
        <a:latin typeface="Times New Roman"/>
        <a:ea typeface="PMingLiU"/>
        <a:cs typeface=""/>
        <a:font script="Jpan" typeface="MS Minch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Blank.dotm</ap:Template>
</ap:Properties>
</file>

<file path=docProps/core.xml><?xml version="1.0" encoding="utf-8"?>
<coreProperties xmlns:dc="http://purl.org/dc/elements/1.1/" xmlns:dcterms="http://purl.org/dc/terms/" xmlns:xsi="http://www.w3.org/2001/XMLSchema-instance" xmlns="http://schemas.openxmlformats.org/package/2006/metadata/core-properties">
  <lastPrinted>1899-12-31T23:00:00.0000000Z</lastPrinted>
  <dcterms:created xsi:type="dcterms:W3CDTF">1899-12-31T23:00:00.0000000Z</dcterms:created>
  <dcterms:modified xsi:type="dcterms:W3CDTF">2025-07-07T07:20:18.0000000Z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4" name="Lorem_Ipsum_Template_String">
    <vt:lpwstr>Loremipsumlolorsitamet</vt:lpwstr>
  </op:property>
</op:Properties>
</file>